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C9" w:rsidRPr="009078C9" w:rsidRDefault="009078C9" w:rsidP="009078C9">
      <w:pPr>
        <w:pStyle w:val="1"/>
        <w:spacing w:before="0"/>
        <w:jc w:val="center"/>
        <w:rPr>
          <w:color w:val="auto"/>
        </w:rPr>
      </w:pPr>
      <w:r w:rsidRPr="009078C9">
        <w:rPr>
          <w:color w:val="auto"/>
        </w:rPr>
        <w:t>Договор № Ю-209</w:t>
      </w:r>
    </w:p>
    <w:p w:rsidR="009078C9" w:rsidRPr="009078C9" w:rsidRDefault="009078C9" w:rsidP="009078C9">
      <w:pPr>
        <w:pStyle w:val="1"/>
        <w:spacing w:before="0"/>
        <w:jc w:val="center"/>
        <w:rPr>
          <w:color w:val="auto"/>
        </w:rPr>
      </w:pPr>
      <w:r w:rsidRPr="009078C9">
        <w:rPr>
          <w:color w:val="auto"/>
        </w:rPr>
        <w:t xml:space="preserve">от </w:t>
      </w:r>
      <w:r w:rsidRPr="009078C9">
        <w:rPr>
          <w:color w:val="auto"/>
        </w:rPr>
        <w:fldChar w:fldCharType="begin"/>
      </w:r>
      <w:r w:rsidRPr="009078C9">
        <w:rPr>
          <w:color w:val="auto"/>
        </w:rPr>
        <w:instrText xml:space="preserve"> MERGEFIELD дата_прописью </w:instrText>
      </w:r>
      <w:r w:rsidRPr="009078C9">
        <w:rPr>
          <w:color w:val="auto"/>
        </w:rPr>
        <w:fldChar w:fldCharType="separate"/>
      </w:r>
      <w:r w:rsidRPr="009078C9">
        <w:rPr>
          <w:noProof/>
          <w:color w:val="auto"/>
        </w:rPr>
        <w:t>«28 » февраля 2019 г.</w:t>
      </w:r>
      <w:r w:rsidRPr="009078C9">
        <w:rPr>
          <w:noProof/>
          <w:color w:val="auto"/>
        </w:rPr>
        <w:fldChar w:fldCharType="end"/>
      </w:r>
      <w:r w:rsidRPr="009078C9">
        <w:rPr>
          <w:color w:val="auto"/>
        </w:rPr>
        <w:br/>
        <w:t>на выполнение и согласованию проектных работ по разработке</w:t>
      </w:r>
      <w:r w:rsidRPr="009078C9">
        <w:rPr>
          <w:color w:val="auto"/>
        </w:rPr>
        <w:br/>
        <w:t>Технологического регламента процесса обращения с отходами строительства и сноса</w:t>
      </w:r>
    </w:p>
    <w:p w:rsidR="009078C9" w:rsidRPr="009B1572" w:rsidRDefault="009078C9" w:rsidP="009078C9"/>
    <w:p w:rsidR="009078C9" w:rsidRPr="007D21BE" w:rsidRDefault="009078C9" w:rsidP="009078C9"/>
    <w:p w:rsidR="009078C9" w:rsidRPr="007D21BE" w:rsidRDefault="009078C9" w:rsidP="009078C9">
      <w:r w:rsidRPr="007D21BE">
        <w:t>Общество с ограниченной ответственностью «</w:t>
      </w:r>
      <w:proofErr w:type="spellStart"/>
      <w:r w:rsidRPr="00553FA5">
        <w:t>Техногрунт</w:t>
      </w:r>
      <w:proofErr w:type="spellEnd"/>
      <w:r w:rsidRPr="007D21BE">
        <w:t>» (</w:t>
      </w:r>
      <w:r w:rsidRPr="00727FCB">
        <w:t>ООО «</w:t>
      </w:r>
      <w:proofErr w:type="spellStart"/>
      <w:r w:rsidRPr="00553FA5">
        <w:t>Техногрунт</w:t>
      </w:r>
      <w:proofErr w:type="spellEnd"/>
      <w:r w:rsidRPr="00727FCB">
        <w:t>»</w:t>
      </w:r>
      <w:r w:rsidRPr="007D21BE">
        <w:t>), именуемое в дальнейшем «</w:t>
      </w:r>
      <w:r>
        <w:t>Подрядчик</w:t>
      </w:r>
      <w:r w:rsidRPr="007D21BE">
        <w:t xml:space="preserve">», в лице Генерального директора </w:t>
      </w:r>
      <w:r>
        <w:t xml:space="preserve">Дмитриева Алексея </w:t>
      </w:r>
      <w:proofErr w:type="spellStart"/>
      <w:r>
        <w:t>Эвальтовича</w:t>
      </w:r>
      <w:proofErr w:type="spellEnd"/>
      <w:r w:rsidRPr="007D21BE">
        <w:t xml:space="preserve">, действующего на основании Устава, с одной стороны и </w:t>
      </w:r>
    </w:p>
    <w:p w:rsidR="009078C9" w:rsidRDefault="009078C9" w:rsidP="009078C9">
      <w:r>
        <w:t>Научно-техническое учреждение "Центр развития и освоения технологий переработки вторичных ресурсов"</w:t>
      </w:r>
      <w:r w:rsidRPr="004C7D91">
        <w:t>, именуемое в дальнейшем «</w:t>
      </w:r>
      <w:r>
        <w:t>Заказчик</w:t>
      </w:r>
      <w:r w:rsidRPr="004C7D91">
        <w:t>», в лице Г</w:t>
      </w:r>
      <w:r>
        <w:t>енерального директора Манилова Александра Викторовича</w:t>
      </w:r>
      <w:r w:rsidRPr="004C7D91">
        <w:t>, действующего на основании Устава, с другой стороны, заключили настоящий договор о нижеследующем:</w:t>
      </w:r>
    </w:p>
    <w:p w:rsidR="009078C9" w:rsidRPr="007D21BE" w:rsidRDefault="009078C9" w:rsidP="009078C9"/>
    <w:p w:rsidR="009078C9" w:rsidRPr="009078C9" w:rsidRDefault="009078C9" w:rsidP="009078C9">
      <w:pPr>
        <w:pStyle w:val="1"/>
        <w:keepLines w:val="0"/>
        <w:widowControl w:val="0"/>
        <w:numPr>
          <w:ilvl w:val="0"/>
          <w:numId w:val="9"/>
        </w:numPr>
        <w:tabs>
          <w:tab w:val="left" w:leader="hyphen" w:pos="0"/>
          <w:tab w:val="left" w:leader="hyphen" w:pos="302"/>
          <w:tab w:val="left" w:leader="hyphen" w:pos="1704"/>
          <w:tab w:val="left" w:pos="1886"/>
          <w:tab w:val="left" w:leader="hyphen" w:pos="2568"/>
        </w:tabs>
        <w:autoSpaceDE w:val="0"/>
        <w:autoSpaceDN w:val="0"/>
        <w:adjustRightInd w:val="0"/>
        <w:spacing w:before="120" w:line="62" w:lineRule="atLeast"/>
        <w:jc w:val="center"/>
        <w:rPr>
          <w:color w:val="auto"/>
        </w:rPr>
      </w:pPr>
      <w:r w:rsidRPr="009078C9">
        <w:rPr>
          <w:color w:val="auto"/>
        </w:rPr>
        <w:t>ПРЕДМЕТ ДОГОВОРА</w:t>
      </w:r>
    </w:p>
    <w:p w:rsidR="009078C9" w:rsidRPr="009B1572" w:rsidRDefault="009078C9" w:rsidP="009078C9"/>
    <w:p w:rsidR="009078C9" w:rsidRPr="007D21BE" w:rsidRDefault="009078C9" w:rsidP="009078C9">
      <w:r w:rsidRPr="007D21BE">
        <w:t xml:space="preserve">1.1. Заказчик поручает, а Подрядчик принимает на себя обязательство по разработке и согласованию в соответствии с действующим законодательством РФ и г. Москвы «Технологического регламента процесса обращения с отходами строительства и сноса» (далее ТР) </w:t>
      </w:r>
      <w:r>
        <w:t>объекта по адресу: г. Москва, Варшавское шоссе д. 25А</w:t>
      </w:r>
    </w:p>
    <w:p w:rsidR="009078C9" w:rsidRPr="007D21BE" w:rsidRDefault="009078C9" w:rsidP="009078C9">
      <w:r w:rsidRPr="007D21BE">
        <w:t>1.2. Работы по Договору выполняются в порядке, установленном Постановлением Правительства Москвы от 25.06.2002 г. № 469-ПП «О порядке обращения с отходами строительства и сноса в г. Москве» (в редакции от 06.03.2013) в объеме стоимости работ, определенной Протоколом согласования договорной цены (Приложение № 1).</w:t>
      </w:r>
    </w:p>
    <w:p w:rsidR="009078C9" w:rsidRPr="007D21BE" w:rsidRDefault="009078C9" w:rsidP="009078C9">
      <w:r w:rsidRPr="007D21BE">
        <w:t xml:space="preserve">1.3. Срок разработки и согласования ТР составляет </w:t>
      </w:r>
      <w:r>
        <w:t>21</w:t>
      </w:r>
      <w:r w:rsidRPr="007D21BE">
        <w:t xml:space="preserve"> (</w:t>
      </w:r>
      <w:r>
        <w:t>двадцать один) календарный день</w:t>
      </w:r>
      <w:r w:rsidRPr="007D21BE">
        <w:t xml:space="preserve"> со дня поступления денежных средств авансирования на расчетный счет Подрядчика, но не ранее получения Подрядчиком документов, необходимых для разработки ТР, определенных Перечнем исходных данных для проектирования (Приложение № 2).</w:t>
      </w:r>
    </w:p>
    <w:p w:rsidR="009078C9" w:rsidRPr="00B92960" w:rsidRDefault="009078C9" w:rsidP="009078C9">
      <w:r w:rsidRPr="007D21BE">
        <w:t xml:space="preserve">1.4. Для выполнения работ по Договору Заказчик передает Подрядчику копии документов, необходимые для разработки ТР в электронном виде по адресу </w:t>
      </w:r>
      <w:hyperlink r:id="rId7" w:history="1">
        <w:r>
          <w:rPr>
            <w:rStyle w:val="ae"/>
            <w:lang w:val="en-US"/>
          </w:rPr>
          <w:t>mralex</w:t>
        </w:r>
        <w:r w:rsidRPr="000F7721">
          <w:rPr>
            <w:rStyle w:val="ae"/>
          </w:rPr>
          <w:t>_</w:t>
        </w:r>
        <w:r>
          <w:rPr>
            <w:rStyle w:val="ae"/>
            <w:lang w:val="en-US"/>
          </w:rPr>
          <w:t>d</w:t>
        </w:r>
        <w:r w:rsidRPr="000F7721">
          <w:rPr>
            <w:rStyle w:val="ae"/>
          </w:rPr>
          <w:t>@</w:t>
        </w:r>
        <w:r>
          <w:rPr>
            <w:rStyle w:val="ae"/>
            <w:lang w:val="en-US"/>
          </w:rPr>
          <w:t>mail</w:t>
        </w:r>
        <w:r w:rsidRPr="000F7721">
          <w:rPr>
            <w:rStyle w:val="ae"/>
          </w:rPr>
          <w:t>.</w:t>
        </w:r>
        <w:r>
          <w:rPr>
            <w:rStyle w:val="ae"/>
            <w:lang w:val="en-US"/>
          </w:rPr>
          <w:t>ru</w:t>
        </w:r>
      </w:hyperlink>
      <w:r>
        <w:t xml:space="preserve"> и на бумажном носителе по адресу: </w:t>
      </w:r>
      <w:r w:rsidRPr="000F7721">
        <w:t xml:space="preserve">г. </w:t>
      </w:r>
      <w:r>
        <w:t xml:space="preserve">Москва, Хлебозаводский проезд, д. 7, стр. 9, этаж 1, </w:t>
      </w:r>
      <w:proofErr w:type="spellStart"/>
      <w:r>
        <w:t>пом</w:t>
      </w:r>
      <w:proofErr w:type="spellEnd"/>
      <w:r>
        <w:t xml:space="preserve">. </w:t>
      </w:r>
      <w:r>
        <w:rPr>
          <w:lang w:val="en-US"/>
        </w:rPr>
        <w:t>VIII</w:t>
      </w:r>
      <w:r w:rsidRPr="009078C9">
        <w:t>, комната 7</w:t>
      </w:r>
      <w:r>
        <w:rPr>
          <w:lang w:val="en-US"/>
        </w:rPr>
        <w:t>B</w:t>
      </w:r>
      <w:r w:rsidRPr="009078C9">
        <w:t>, офис 7.</w:t>
      </w:r>
    </w:p>
    <w:p w:rsidR="009078C9" w:rsidRDefault="009078C9" w:rsidP="009078C9">
      <w:r w:rsidRPr="007D21BE">
        <w:t>1.5. Выполнение всех работ, не учтенных Протоколом расчета стоимости разработки ТР, Стороны оформляют в установленном порядке в виде дополнительных соглашений к Договору.</w:t>
      </w:r>
    </w:p>
    <w:p w:rsidR="009078C9" w:rsidRPr="007D21BE" w:rsidRDefault="009078C9" w:rsidP="009078C9"/>
    <w:p w:rsidR="009078C9" w:rsidRPr="009078C9" w:rsidRDefault="009078C9" w:rsidP="009078C9">
      <w:pPr>
        <w:pStyle w:val="1"/>
        <w:jc w:val="center"/>
        <w:rPr>
          <w:color w:val="auto"/>
        </w:rPr>
      </w:pPr>
      <w:r w:rsidRPr="009078C9">
        <w:rPr>
          <w:color w:val="auto"/>
        </w:rPr>
        <w:t>2. СТОИМОСТЬ, ОБЪЕМ РАБОТ И ПОРЯДОК РАСЧЕТОВ</w:t>
      </w:r>
    </w:p>
    <w:p w:rsidR="009078C9" w:rsidRPr="009B1572" w:rsidRDefault="009078C9" w:rsidP="009078C9"/>
    <w:p w:rsidR="009078C9" w:rsidRPr="007D21BE" w:rsidRDefault="009078C9" w:rsidP="009078C9">
      <w:r w:rsidRPr="007D21BE">
        <w:t>2.1. Стоимость и объем работ по Договору определяется Протоколом согласования договорной цены (Приложение № 1).</w:t>
      </w:r>
    </w:p>
    <w:p w:rsidR="009078C9" w:rsidRPr="007D21BE" w:rsidRDefault="009078C9" w:rsidP="009078C9">
      <w:r w:rsidRPr="007D21BE">
        <w:t xml:space="preserve">2.2. В течение 5 (Пяти) банковских дней с момента подписания настоящего Договора, на основании счета, выставленного Подрядчиком, Заказчик производит авансовый платеж в размере </w:t>
      </w:r>
      <w:r>
        <w:t>100</w:t>
      </w:r>
      <w:r w:rsidRPr="007D21BE">
        <w:t xml:space="preserve"> % от общей стоимости Работ.</w:t>
      </w:r>
    </w:p>
    <w:p w:rsidR="009078C9" w:rsidRPr="007D21BE" w:rsidRDefault="009078C9" w:rsidP="009078C9">
      <w:r w:rsidRPr="007D21BE">
        <w:t>2.3. Датой платежа по Договору считается дата списания денежных средств с расчетного счета Заказчика.</w:t>
      </w:r>
    </w:p>
    <w:p w:rsidR="009078C9" w:rsidRPr="007D21BE" w:rsidRDefault="009078C9" w:rsidP="009078C9">
      <w:r w:rsidRPr="007D21BE">
        <w:t>2.4. В целях идентификации расчетов по настоящему Договору в счетах, и актах сдачи-приемки выполненных работ Подрядчик обязан указывать номер и дату настоящего Договора.</w:t>
      </w:r>
    </w:p>
    <w:p w:rsidR="009078C9" w:rsidRDefault="009078C9" w:rsidP="009078C9">
      <w:r w:rsidRPr="007D21BE">
        <w:t xml:space="preserve">2.5. </w:t>
      </w:r>
      <w:r w:rsidRPr="00E90025">
        <w:t>В случае, если Заказчик не уведомил Подрядчика об изменении исходных данных и/или предоставил измененные исходные данные позднее даты регистрации ТР в Государственном казенном учреждении города Москвы «Управление подготовки территорий» (далее в тексте «ГКУ УПТ»), то все изменения в ТР вносятся за счёт Заказчика. В этом случае Стороны подписывают дополнительное соглашение, в котором определяются объём дополнительных работ и условия их оплаты.</w:t>
      </w:r>
    </w:p>
    <w:p w:rsidR="009078C9" w:rsidRDefault="009078C9" w:rsidP="009078C9">
      <w:r>
        <w:t xml:space="preserve">2.6. </w:t>
      </w:r>
      <w:r w:rsidRPr="00E90025">
        <w:t xml:space="preserve">В случае изменения исходных данных, Заказчик обязан уведомить Подрядчика в течении 1 (одного) рабочего дня и предоставить </w:t>
      </w:r>
      <w:r>
        <w:t>Подрядчику</w:t>
      </w:r>
      <w:r w:rsidRPr="00E90025">
        <w:t xml:space="preserve"> измененные данные в кратчайшие сроки. В этом случае, датой начала работ по Договору считать дату предоставления исправленных исходных данных.</w:t>
      </w:r>
    </w:p>
    <w:p w:rsidR="009078C9" w:rsidRDefault="009078C9" w:rsidP="009078C9"/>
    <w:p w:rsidR="009078C9" w:rsidRPr="009078C9" w:rsidRDefault="009078C9" w:rsidP="009078C9">
      <w:pPr>
        <w:pStyle w:val="1"/>
        <w:jc w:val="center"/>
        <w:rPr>
          <w:color w:val="auto"/>
        </w:rPr>
      </w:pPr>
      <w:r w:rsidRPr="009078C9">
        <w:rPr>
          <w:color w:val="auto"/>
        </w:rPr>
        <w:t>3. ПОРЯДОК СДАЧИ-ПРИЕМКИ РАБОТ</w:t>
      </w:r>
    </w:p>
    <w:p w:rsidR="009078C9" w:rsidRPr="009B1572" w:rsidRDefault="009078C9" w:rsidP="009078C9"/>
    <w:p w:rsidR="009078C9" w:rsidRPr="007D21BE" w:rsidRDefault="009078C9" w:rsidP="009078C9">
      <w:r w:rsidRPr="007D21BE">
        <w:t>3.1</w:t>
      </w:r>
      <w:r w:rsidRPr="005E48D1">
        <w:t>. По истечении 10 (десяти) рабочих дней</w:t>
      </w:r>
      <w:r>
        <w:t xml:space="preserve"> </w:t>
      </w:r>
      <w:r w:rsidRPr="00303693">
        <w:t>со дня поступления денежных средств авансирования на расчетный счет Подрядчика, но не ранее получения Подрядчиком документов, необходимых для разработки ТР, определенных Перечнем исходных данных для проектирования (Приложение № 2)</w:t>
      </w:r>
      <w:r w:rsidRPr="005E48D1">
        <w:t>,</w:t>
      </w:r>
      <w:r w:rsidRPr="007D21BE">
        <w:t xml:space="preserve"> Подрядчик передает </w:t>
      </w:r>
      <w:r w:rsidRPr="00DC1F50">
        <w:t>Заказчику разработанный и подписанный со своей стороны ТР по накладной 6 (шесть) экземпляров на бумажном носителе и 1 (один) экземпляр на электронном носителе в формате PDF для рассмотрения и согласования Заказчиком</w:t>
      </w:r>
      <w:r w:rsidRPr="007D21BE">
        <w:t>.</w:t>
      </w:r>
    </w:p>
    <w:p w:rsidR="009078C9" w:rsidRPr="007D21BE" w:rsidRDefault="009078C9" w:rsidP="009078C9">
      <w:r w:rsidRPr="007D21BE">
        <w:lastRenderedPageBreak/>
        <w:t xml:space="preserve">3.2. </w:t>
      </w:r>
      <w:r w:rsidRPr="00DC1F50">
        <w:t xml:space="preserve">Заказчик обязуется в течение </w:t>
      </w:r>
      <w:r>
        <w:t>3</w:t>
      </w:r>
      <w:r w:rsidRPr="00DC1F50">
        <w:t xml:space="preserve"> (</w:t>
      </w:r>
      <w:r>
        <w:t>Трех</w:t>
      </w:r>
      <w:r w:rsidRPr="00DC1F50">
        <w:t xml:space="preserve">) рабочих дней с даты получения ТР рассмотреть и, в случае отсутствия замечаний, согласовать разработанный ТР и вернуть </w:t>
      </w:r>
      <w:r>
        <w:t>Подрядчику</w:t>
      </w:r>
      <w:r w:rsidRPr="00DC1F50">
        <w:t xml:space="preserve"> или в этот же срок направить </w:t>
      </w:r>
      <w:r>
        <w:t>Подрядчику</w:t>
      </w:r>
      <w:r w:rsidRPr="00DC1F50">
        <w:t xml:space="preserve"> мотивированный отказ от приёмки работ</w:t>
      </w:r>
      <w:r>
        <w:t>.</w:t>
      </w:r>
    </w:p>
    <w:p w:rsidR="009078C9" w:rsidRPr="007D21BE" w:rsidRDefault="009078C9" w:rsidP="009078C9">
      <w:r w:rsidRPr="007D21BE">
        <w:t xml:space="preserve">3.3 После утверждения </w:t>
      </w:r>
      <w:r>
        <w:t>ТР</w:t>
      </w:r>
      <w:r w:rsidRPr="007D21BE">
        <w:t xml:space="preserve"> Заказчиком, Подрядчик осуществляет согласование ТР в соответствии с законодательством</w:t>
      </w:r>
      <w:r>
        <w:t xml:space="preserve"> </w:t>
      </w:r>
      <w:r w:rsidRPr="00303693">
        <w:t>РФ</w:t>
      </w:r>
      <w:r w:rsidRPr="007D21BE">
        <w:t xml:space="preserve">, в срок предусмотренный договором. </w:t>
      </w:r>
    </w:p>
    <w:p w:rsidR="009078C9" w:rsidRPr="007D21BE" w:rsidRDefault="009078C9" w:rsidP="009078C9">
      <w:r w:rsidRPr="007D21BE">
        <w:t>3.4. После получения согласования, Подрядчик передает Заказчику 4 (четыре) экземпляра согласованной проектной документации, электронную версию согласованного ТР два экземпляра Акта сдачи-приемки выполненных работ и Акта приема-передачи результатов работ.</w:t>
      </w:r>
    </w:p>
    <w:p w:rsidR="009078C9" w:rsidRPr="007D21BE" w:rsidRDefault="009078C9" w:rsidP="009078C9">
      <w:r w:rsidRPr="007D21BE">
        <w:t xml:space="preserve">3.5. Заказчик обязуется подписать и передать Подрядчику полученный Акт сдачи-приемки выполненных работ и Акт приема-передачи результатов работ или направить ему мотивированный отказ от приемки работ в срок не позднее 15 (пятнадцати) рабочих дней с момента получения </w:t>
      </w:r>
      <w:r w:rsidRPr="00303693">
        <w:t>согласованного в соответствии с законодательством РФ</w:t>
      </w:r>
      <w:r>
        <w:t xml:space="preserve"> </w:t>
      </w:r>
      <w:r w:rsidRPr="007D21BE">
        <w:t xml:space="preserve">ТР. </w:t>
      </w:r>
    </w:p>
    <w:p w:rsidR="009078C9" w:rsidRPr="007D21BE" w:rsidRDefault="009078C9" w:rsidP="009078C9">
      <w:r w:rsidRPr="007D21BE">
        <w:t>3.6. По истечении срока, указанного в п.3.2 Договора и при отсутствии мотивированного отказа, представленные Заказчику результаты работ считаются выполненными.</w:t>
      </w:r>
    </w:p>
    <w:p w:rsidR="009078C9" w:rsidRPr="007D21BE" w:rsidRDefault="009078C9" w:rsidP="009078C9">
      <w:r w:rsidRPr="007D21BE">
        <w:t>3.7. Датой завершения работ признается дата подписания Заказчиком Акта сдачи приемки выполненных работ</w:t>
      </w:r>
      <w:r>
        <w:t xml:space="preserve">, </w:t>
      </w:r>
      <w:r w:rsidRPr="00303693">
        <w:t>в том числе</w:t>
      </w:r>
      <w:r w:rsidRPr="007D21BE">
        <w:t xml:space="preserve"> в соответствии с п.3.6. Договора или дата следующего рабочего дня по истечению срока определенного п.3.2. Договора.</w:t>
      </w:r>
    </w:p>
    <w:p w:rsidR="009078C9" w:rsidRDefault="009078C9" w:rsidP="009078C9">
      <w:r w:rsidRPr="007D21BE">
        <w:t>3.8. В случае получения от Заказчика мотивированного отказа от приемки работ, Подрядчик обязуется за свой счет устранить выявленные недостатки в указанный Заказчиком срок и вторично предоставить Заказчику обусловленные Договором результаты работ.</w:t>
      </w:r>
    </w:p>
    <w:p w:rsidR="009078C9" w:rsidRPr="007D21BE" w:rsidRDefault="009078C9" w:rsidP="009078C9"/>
    <w:p w:rsidR="009078C9" w:rsidRPr="009078C9" w:rsidRDefault="009078C9" w:rsidP="009078C9">
      <w:pPr>
        <w:pStyle w:val="1"/>
        <w:jc w:val="center"/>
        <w:rPr>
          <w:color w:val="auto"/>
        </w:rPr>
      </w:pPr>
      <w:r w:rsidRPr="009078C9">
        <w:rPr>
          <w:color w:val="auto"/>
        </w:rPr>
        <w:t>4. ПРАВА, ОБЯЗАННОСТИ И ОТВЕТСТВЕННОСТЬ СТОРОН</w:t>
      </w:r>
    </w:p>
    <w:p w:rsidR="009078C9" w:rsidRPr="009B1572" w:rsidRDefault="009078C9" w:rsidP="009078C9"/>
    <w:p w:rsidR="009078C9" w:rsidRPr="009B1572" w:rsidRDefault="009078C9" w:rsidP="009078C9"/>
    <w:p w:rsidR="009078C9" w:rsidRPr="007D21BE" w:rsidRDefault="009078C9" w:rsidP="009078C9">
      <w:r w:rsidRPr="007D21BE">
        <w:t>4.1. Заказчик обязуется:</w:t>
      </w:r>
    </w:p>
    <w:p w:rsidR="009078C9" w:rsidRPr="007D21BE" w:rsidRDefault="009078C9" w:rsidP="009078C9">
      <w:r w:rsidRPr="007D21BE">
        <w:t>4.1.1. В порядке и в сроки, определенные Договором, принять обусловленные результаты работ и оплатить работы Подрядчика по согласованным ценам;</w:t>
      </w:r>
    </w:p>
    <w:p w:rsidR="009078C9" w:rsidRPr="007D21BE" w:rsidRDefault="009078C9" w:rsidP="009078C9">
      <w:r w:rsidRPr="007D21BE">
        <w:t>4.1.2. Своевременно и в полном объеме передать Подрядчику все исходные данные и материалы, необходимые для разработки ТР</w:t>
      </w:r>
      <w:r w:rsidRPr="007D21BE">
        <w:fldChar w:fldCharType="begin"/>
      </w:r>
      <w:r w:rsidRPr="007D21BE">
        <w:instrText xml:space="preserve"> IF </w:instrText>
      </w:r>
      <w:r w:rsidRPr="007D21BE">
        <w:rPr>
          <w:noProof/>
        </w:rPr>
        <w:fldChar w:fldCharType="begin"/>
      </w:r>
      <w:r w:rsidRPr="007D21BE">
        <w:instrText xml:space="preserve"> MERGEFIELD Оплачен </w:instrText>
      </w:r>
      <w:r w:rsidRPr="007D21BE">
        <w:rPr>
          <w:noProof/>
        </w:rPr>
        <w:fldChar w:fldCharType="end"/>
      </w:r>
      <w:r w:rsidRPr="007D21BE">
        <w:instrText xml:space="preserve"> = "Нет" ";</w:instrText>
      </w:r>
    </w:p>
    <w:p w:rsidR="009078C9" w:rsidRPr="007D21BE" w:rsidRDefault="009078C9" w:rsidP="009078C9">
      <w:r w:rsidRPr="007D21BE">
        <w:instrText xml:space="preserve">4.1.3. Возместить Подрядчику дополнительные расходы, вызванные изменением исходных данных для выполнения работ вследствие обстоятельств, не зависящих от Подрядчика (заключается дополнительное соглашение к Договору)" "" </w:instrText>
      </w:r>
      <w:r w:rsidRPr="007D21BE">
        <w:fldChar w:fldCharType="end"/>
      </w:r>
      <w:r>
        <w:t>;</w:t>
      </w:r>
    </w:p>
    <w:p w:rsidR="009078C9" w:rsidRPr="007D21BE" w:rsidRDefault="009078C9" w:rsidP="009078C9">
      <w:r w:rsidRPr="007D21BE">
        <w:t>4.1.</w:t>
      </w:r>
      <w:r>
        <w:t>3</w:t>
      </w:r>
      <w:r w:rsidRPr="007D21BE">
        <w:t>. Обязуется в течение 5 (пяти) рабочих дней с даты получения разработанного ТР вернуть Подрядчику подписанные 6 (Шесть) экз. ТР для регистрации в уполномоченном органе; 4 (Четыре) экз. ТР после регистрации возвращаются Заказчику, 1 (Один) - остается у Подрядчика, 1(Один) – в регистрирующем органе;</w:t>
      </w:r>
    </w:p>
    <w:p w:rsidR="009078C9" w:rsidRPr="007D21BE" w:rsidRDefault="009078C9" w:rsidP="009078C9">
      <w:r w:rsidRPr="007D21BE">
        <w:t>4.1.</w:t>
      </w:r>
      <w:r>
        <w:t>4</w:t>
      </w:r>
      <w:r w:rsidRPr="007D21BE">
        <w:t>. Оказывать Подрядчику содействие в выполнении работ по Договору</w:t>
      </w:r>
      <w:r w:rsidRPr="00303693">
        <w:t>, при этом Заказчик не обязан разрабатывать и согласовывать ТР в уполномоченном органе;</w:t>
      </w:r>
    </w:p>
    <w:p w:rsidR="009078C9" w:rsidRPr="007D21BE" w:rsidRDefault="009078C9" w:rsidP="009078C9">
      <w:r w:rsidRPr="007D21BE">
        <w:t>4.1.</w:t>
      </w:r>
      <w:r>
        <w:t>5</w:t>
      </w:r>
      <w:r w:rsidRPr="007D21BE">
        <w:t>. Заказчик обязан соблюдать положения ТР при практическом выполнении мероприятий по процессу обращения с отходами строительства и сноса по объекту, определенному в п.п.1.1. Договора.</w:t>
      </w:r>
    </w:p>
    <w:p w:rsidR="009078C9" w:rsidRPr="007D21BE" w:rsidRDefault="009078C9" w:rsidP="009078C9">
      <w:r w:rsidRPr="007D21BE">
        <w:t>4.</w:t>
      </w:r>
      <w:r>
        <w:t>2</w:t>
      </w:r>
      <w:r w:rsidRPr="007D21BE">
        <w:t>. Подрядчик обязуется:</w:t>
      </w:r>
    </w:p>
    <w:p w:rsidR="009078C9" w:rsidRPr="007D21BE" w:rsidRDefault="009078C9" w:rsidP="009078C9">
      <w:r w:rsidRPr="007D21BE">
        <w:t>4.</w:t>
      </w:r>
      <w:r>
        <w:t>2</w:t>
      </w:r>
      <w:r w:rsidRPr="007D21BE">
        <w:t>.1. От своего имени и за счет средств Заказчика выполнить юридические и фактические действия по обеспечению разработки и согласованию ТР в порядке, установленном Постановлением Правительства Москвы от 25.06.2002 г. № 469-ПП «О порядке обращения с отходами строительства и сноса в г. Москве» (в редакции от 06.03.2013) в объеме определенном в Приложении №1, в соответствии с исходными данными для проектирования определенными в Приложении №2;</w:t>
      </w:r>
    </w:p>
    <w:p w:rsidR="009078C9" w:rsidRPr="007D21BE" w:rsidRDefault="009078C9" w:rsidP="009078C9">
      <w:r w:rsidRPr="007D21BE">
        <w:t>4.</w:t>
      </w:r>
      <w:r>
        <w:t>2</w:t>
      </w:r>
      <w:r w:rsidRPr="007D21BE">
        <w:t>.2. </w:t>
      </w:r>
      <w:r w:rsidRPr="00E90025">
        <w:t>Выполнять работы на основе исходных данных (Приложение № 2), в соответствии с нормами проектирования, настоящим Д</w:t>
      </w:r>
      <w:r>
        <w:t>оговором и законодательством РФ</w:t>
      </w:r>
      <w:r w:rsidRPr="007D21BE">
        <w:t>;</w:t>
      </w:r>
    </w:p>
    <w:p w:rsidR="009078C9" w:rsidRPr="007D21BE" w:rsidRDefault="009078C9" w:rsidP="009078C9">
      <w:r w:rsidRPr="007D21BE">
        <w:t>4.</w:t>
      </w:r>
      <w:r>
        <w:t>2</w:t>
      </w:r>
      <w:r w:rsidRPr="007D21BE">
        <w:t>.3. В сроки, согласованные Сторонами, и за собственный счет устранять недостатки по получении от Заказчика мотивированной письменной претензии относительно качества, полноты документации, разработанной Подрядчиком, или несоответствия ее условиям Договора;</w:t>
      </w:r>
    </w:p>
    <w:p w:rsidR="009078C9" w:rsidRPr="007D21BE" w:rsidRDefault="009078C9" w:rsidP="009078C9">
      <w:r w:rsidRPr="007D21BE">
        <w:t>4.</w:t>
      </w:r>
      <w:r>
        <w:t>2</w:t>
      </w:r>
      <w:r w:rsidRPr="007D21BE">
        <w:t xml:space="preserve">.4. В случае получения замечаний государственной экспертизы при приемке проектной документации или в процессе проведения экспертизы или отрицательного заключения по проектной документации, Подрядчик в течение 3-х дней обязан устранить замечания за свой счет. </w:t>
      </w:r>
    </w:p>
    <w:p w:rsidR="009078C9" w:rsidRPr="007D21BE" w:rsidRDefault="009078C9" w:rsidP="009078C9">
      <w:r w:rsidRPr="007D21BE">
        <w:t>4.</w:t>
      </w:r>
      <w:r>
        <w:t>2</w:t>
      </w:r>
      <w:r w:rsidRPr="007D21BE">
        <w:t>.5. В случае(</w:t>
      </w:r>
      <w:proofErr w:type="spellStart"/>
      <w:r w:rsidRPr="007D21BE">
        <w:t>ях</w:t>
      </w:r>
      <w:proofErr w:type="spellEnd"/>
      <w:r w:rsidRPr="007D21BE">
        <w:t>), если Подрядчик в ходе выполнения проектных работ сочтет, что указания, полученные от Заказчика, противоречат строительным нормам и правилам и/или действующему законодательству и могут привести к возникновению существенных недостатков в разрабатываемой проектной документации и последующих строительных работах, он обязан в письменной форме уведомить об этом Заказчика.</w:t>
      </w:r>
    </w:p>
    <w:p w:rsidR="009078C9" w:rsidRPr="007D21BE" w:rsidRDefault="009078C9" w:rsidP="009078C9">
      <w:r w:rsidRPr="007D21BE">
        <w:t>4.</w:t>
      </w:r>
      <w:r>
        <w:t>3</w:t>
      </w:r>
      <w:r w:rsidRPr="007D21BE">
        <w:t>. Подрядчик имеет право:</w:t>
      </w:r>
    </w:p>
    <w:p w:rsidR="009078C9" w:rsidRPr="007D21BE" w:rsidRDefault="009078C9" w:rsidP="009078C9">
      <w:r w:rsidRPr="007D21BE">
        <w:t>4.</w:t>
      </w:r>
      <w:r>
        <w:t>3</w:t>
      </w:r>
      <w:r w:rsidRPr="007D21BE">
        <w:t>.1. Не приступать к выполнению работ в случае неисполнения Заказчиком п.2.2., Договора, а также, если Заказчик не передал или передал не полностью Подрядчику необходимую для работы документацию определенную в Приложении №2.</w:t>
      </w:r>
    </w:p>
    <w:p w:rsidR="009078C9" w:rsidRPr="007D21BE" w:rsidRDefault="009078C9" w:rsidP="009078C9">
      <w:r w:rsidRPr="007D21BE">
        <w:t>4.</w:t>
      </w:r>
      <w:r>
        <w:t>3</w:t>
      </w:r>
      <w:r w:rsidRPr="007D21BE">
        <w:t>.2. Обращаться с запросами к Заказчику в целях надлежащего исполнения обязательств, предусмотренных Договором.</w:t>
      </w:r>
    </w:p>
    <w:p w:rsidR="009078C9" w:rsidRPr="007D21BE" w:rsidRDefault="009078C9" w:rsidP="009078C9">
      <w:r w:rsidRPr="007D21BE">
        <w:t>4.</w:t>
      </w:r>
      <w:r>
        <w:t>3</w:t>
      </w:r>
      <w:r w:rsidRPr="007D21BE">
        <w:t>.3. В процессе разработки и согласования ТР привлекать к выполнению отдельных его разделов третьих лиц. В этом случае Подрядчик несет ответственность перед Заказчиком за их действия, как за свои собственные.</w:t>
      </w:r>
    </w:p>
    <w:p w:rsidR="009078C9" w:rsidRPr="007D21BE" w:rsidRDefault="009078C9" w:rsidP="009078C9">
      <w:r w:rsidRPr="007D21BE">
        <w:t>4.</w:t>
      </w:r>
      <w:r>
        <w:t>4</w:t>
      </w:r>
      <w:r w:rsidRPr="007D21BE">
        <w:t>.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9078C9" w:rsidRPr="007D21BE" w:rsidRDefault="009078C9" w:rsidP="009078C9">
      <w:r w:rsidRPr="007D21BE">
        <w:lastRenderedPageBreak/>
        <w:t>4.</w:t>
      </w:r>
      <w:r>
        <w:t>5</w:t>
      </w:r>
      <w:r w:rsidRPr="007D21BE">
        <w:t xml:space="preserve">. Все споры, разногласия 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w:t>
      </w:r>
      <w:r w:rsidRPr="00303693">
        <w:t>в Арбитражном суде города.</w:t>
      </w:r>
      <w:r w:rsidRPr="007D21BE">
        <w:t xml:space="preserve"> До передачи спора на разрешение суда, Стороны принимают меры по его урегулированию в претензионном порядке. Претензия должна быть рассмотрена в течение 15 (Пятнадцати) календарных дней.</w:t>
      </w:r>
    </w:p>
    <w:p w:rsidR="009078C9" w:rsidRPr="009B1572" w:rsidRDefault="009078C9" w:rsidP="009078C9">
      <w:r w:rsidRPr="007D21BE">
        <w:t>4.</w:t>
      </w:r>
      <w:r>
        <w:t>6</w:t>
      </w:r>
      <w:r w:rsidRPr="007D21BE">
        <w:t xml:space="preserve">. </w:t>
      </w:r>
      <w:r w:rsidRPr="009B1572">
        <w:t>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w:t>
      </w:r>
      <w:r>
        <w:t xml:space="preserve">, </w:t>
      </w:r>
      <w:r w:rsidRPr="00303693">
        <w:t>но не более 10% от просроченной суммы</w:t>
      </w:r>
      <w:r w:rsidRPr="009B1572">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9078C9" w:rsidRPr="007D21BE" w:rsidRDefault="009078C9" w:rsidP="009078C9">
      <w:r w:rsidRPr="007D21BE">
        <w:t>4.</w:t>
      </w:r>
      <w:r>
        <w:t>7</w:t>
      </w:r>
      <w:r w:rsidRPr="007D21BE">
        <w:t>. В случае просрочки исполнения своих обязательств по выполнению работ в сроки, установленные Договором, а именно – за нарушение конечного срока выполнения Работ (включающего согласование) Подрядчик обязан в течение 5 (пяти) рабочих дней после получения от Заказчика соответствующего уведомления уплатить Заказчику неустойку в размере 1% (одного процента) от Стоимости Работ, установленной Договором, за каждый день просрочки исполнения обязательства, начиная со дня, следующего после истечения установленного Договором срока исполнения обязательства</w:t>
      </w:r>
      <w:r>
        <w:t>, но не более 10%</w:t>
      </w:r>
      <w:r w:rsidRPr="007D21BE">
        <w:t>.</w:t>
      </w:r>
    </w:p>
    <w:p w:rsidR="009078C9" w:rsidRPr="007D21BE" w:rsidRDefault="009078C9" w:rsidP="009078C9">
      <w:r w:rsidRPr="007D21BE">
        <w:t>Подрядчик освобождается от уплаты неустойки (штрафа, пеней) за просрочку исполнения обязательств по выполнению работ, в сроки, установленные Договором, если докажет, что просрочка исполнения указанных обязательств произошла по вине Заказчика</w:t>
      </w:r>
    </w:p>
    <w:p w:rsidR="009078C9" w:rsidRPr="007D21BE" w:rsidRDefault="009078C9" w:rsidP="009078C9">
      <w:r w:rsidRPr="007D21BE">
        <w:t>4.</w:t>
      </w:r>
      <w:r>
        <w:t>8</w:t>
      </w:r>
      <w:r w:rsidRPr="007D21BE">
        <w:t>. В случае выполнения работ ненадлежащего качества Подрядчик</w:t>
      </w:r>
      <w:r w:rsidRPr="007D21BE">
        <w:rPr>
          <w:bCs/>
          <w:spacing w:val="-1"/>
        </w:rPr>
        <w:t xml:space="preserve"> </w:t>
      </w:r>
      <w:r w:rsidRPr="007D21BE">
        <w:t>обязан в течение 5 (пяти) рабочих дней после получения от Заказчика соответствующего уведомления уплатить Заказчику неустойку в размере 1% (одного процента) от Стоимости Работ за каждый день периода, в течение которого Работы имели ненадлежащее качество, исчисляемого с момента направления Заказчиком Подрядчику</w:t>
      </w:r>
      <w:r w:rsidRPr="007D21BE">
        <w:rPr>
          <w:bCs/>
          <w:spacing w:val="-1"/>
        </w:rPr>
        <w:t xml:space="preserve"> </w:t>
      </w:r>
      <w:r w:rsidRPr="007D21BE">
        <w:t>уведомления о ненадлежащем качестве выполненных работ до момента устранения указанных в уведомлении недостатков</w:t>
      </w:r>
      <w:r>
        <w:t>, но не более 10%</w:t>
      </w:r>
      <w:r w:rsidRPr="007D21BE">
        <w:t>. Под работами ненадлежащего качества понимаются работы, результат которых не соответствует требованиям Договора, приложений к нему и не может быть использован для целей, установленных Договором.</w:t>
      </w:r>
    </w:p>
    <w:p w:rsidR="009078C9" w:rsidRPr="007D21BE" w:rsidRDefault="009078C9" w:rsidP="009078C9">
      <w:r w:rsidRPr="007D21BE">
        <w:t>4.</w:t>
      </w:r>
      <w:r>
        <w:t>9</w:t>
      </w:r>
      <w:r w:rsidRPr="007D21BE">
        <w:t>. Стороны освобождаются от ответственности за полное или частичное невыполнение обязательств по Договору по причине форс-мажорных обстоятельств (непреодолимой силы), а также за действия при их возникновении, если эти обстоятельства повлияли на выполнение обязательств по Договору.</w:t>
      </w:r>
    </w:p>
    <w:p w:rsidR="009078C9" w:rsidRDefault="009078C9" w:rsidP="009078C9">
      <w:r w:rsidRPr="007D21BE">
        <w:t>4.</w:t>
      </w:r>
      <w:r>
        <w:t>10</w:t>
      </w:r>
      <w:r w:rsidRPr="007D21BE">
        <w:t>. Подрядчик не несет ответственность за невыполнение обязательств по Договору, если оно вызвано действием либо бездействием Заказчика, повлекшим невыполнение им собственных обязательств по Договору перед Подрядчиком.</w:t>
      </w:r>
    </w:p>
    <w:p w:rsidR="009078C9" w:rsidRPr="007D21BE" w:rsidRDefault="009078C9" w:rsidP="009078C9"/>
    <w:p w:rsidR="009078C9" w:rsidRPr="009078C9" w:rsidRDefault="009078C9" w:rsidP="009078C9">
      <w:pPr>
        <w:pStyle w:val="1"/>
        <w:jc w:val="center"/>
        <w:rPr>
          <w:color w:val="auto"/>
        </w:rPr>
      </w:pPr>
      <w:r w:rsidRPr="009078C9">
        <w:rPr>
          <w:color w:val="auto"/>
        </w:rPr>
        <w:t>5. ПРОЧИЕ УСЛОВИЯ</w:t>
      </w:r>
    </w:p>
    <w:p w:rsidR="009078C9" w:rsidRPr="009B1572" w:rsidRDefault="009078C9" w:rsidP="009078C9"/>
    <w:p w:rsidR="009078C9" w:rsidRPr="007D21BE" w:rsidRDefault="009078C9" w:rsidP="009078C9">
      <w:r>
        <w:t>5</w:t>
      </w:r>
      <w:r w:rsidRPr="007D21BE">
        <w:t>.1. Договор вступает в силу с момента его подписания и действует до полного исполнения Сторонами принятых на себя обязательств и урегулирования вопросов по взаиморасчетам Сторон.</w:t>
      </w:r>
    </w:p>
    <w:p w:rsidR="009078C9" w:rsidRPr="007D21BE" w:rsidRDefault="009078C9" w:rsidP="009078C9">
      <w:r>
        <w:t>5</w:t>
      </w:r>
      <w:r w:rsidRPr="007D21BE">
        <w:t>.2. Объем работ, указанный в Договоре, является окончательным на все время действия Договора. В случае изменения объема работ Стороны вносят изменения в Договор, путем подписания Дополнительного соглашения.</w:t>
      </w:r>
    </w:p>
    <w:p w:rsidR="009078C9" w:rsidRPr="007D21BE" w:rsidRDefault="009078C9" w:rsidP="009078C9">
      <w:r>
        <w:t>5</w:t>
      </w:r>
      <w:r w:rsidRPr="007D21BE">
        <w:t>.3. В случае изменения объема работ, либо других изменений, вносимых в Договор Стороны оформляют в письменном виде Дополнительные соглашения, являющимися неотъемлемыми частями Договора.</w:t>
      </w:r>
    </w:p>
    <w:p w:rsidR="009078C9" w:rsidRPr="007D21BE" w:rsidRDefault="009078C9" w:rsidP="009078C9">
      <w:r>
        <w:t>5</w:t>
      </w:r>
      <w:r w:rsidRPr="007D21BE">
        <w:t>.4. Подрядчик может привлекать к выполнению работ в рамках Договора сторонние специализированные организации.</w:t>
      </w:r>
    </w:p>
    <w:p w:rsidR="009078C9" w:rsidRPr="007D21BE" w:rsidRDefault="009078C9" w:rsidP="009078C9">
      <w:r>
        <w:t>5</w:t>
      </w:r>
      <w:r w:rsidRPr="007D21BE">
        <w:t>.5. Подрядчик несет ответственность за сохранность документов, переданных для разработки ТР, с момента его подписания и в течение 30 (Тридцати) календарных дней после принятия работ по Договору. По истечении указанного срока, документы, указанные в акте приема-передачи исходной документации, подлежат утилизации.</w:t>
      </w:r>
    </w:p>
    <w:p w:rsidR="009078C9" w:rsidRPr="007D21BE" w:rsidRDefault="009078C9" w:rsidP="009078C9">
      <w:r>
        <w:t>5</w:t>
      </w:r>
      <w:r w:rsidRPr="007D21BE">
        <w:t>.6. Все вопросы, неурегулированные Договором, регулируются нормами действующего законодательства РФ.</w:t>
      </w:r>
    </w:p>
    <w:p w:rsidR="009078C9" w:rsidRPr="007D21BE" w:rsidRDefault="009078C9" w:rsidP="009078C9">
      <w:r>
        <w:t>5</w:t>
      </w:r>
      <w:r w:rsidRPr="007D21BE">
        <w:t>.7. Заказчик имеет право использовать проектную документацию по своему усмотрению, в частности передавать проектную документацию третьим лицам и разглашать содержащиеся в ней данные без согласия Подрядчика.</w:t>
      </w:r>
    </w:p>
    <w:p w:rsidR="009078C9" w:rsidRPr="007D21BE" w:rsidRDefault="009078C9" w:rsidP="009078C9">
      <w:r>
        <w:t>5</w:t>
      </w:r>
      <w:r w:rsidRPr="007D21BE">
        <w:t xml:space="preserve">.8. Для оперативного взаимодействия Договором предусматривается обмен официальной корреспонденцией (переписка) с адресов электронной почты указанных в реквизитах Сторон. Срок хранения электронной корреспонденции ограничен сроком действия договора плюс 1 (Один) месяц. </w:t>
      </w:r>
    </w:p>
    <w:p w:rsidR="009078C9" w:rsidRPr="007D21BE" w:rsidRDefault="009078C9" w:rsidP="009078C9">
      <w:r>
        <w:t>5</w:t>
      </w:r>
      <w:r w:rsidRPr="007D21BE">
        <w:t>.9. Все изменения и дополнения к Договору считаются действительными, если они оформлены в виде дополнительных соглашений и подписаны обеими Сторонами.</w:t>
      </w:r>
    </w:p>
    <w:p w:rsidR="009078C9" w:rsidRDefault="009078C9" w:rsidP="009078C9">
      <w:r>
        <w:t>5</w:t>
      </w:r>
      <w:r w:rsidRPr="007D21BE">
        <w:t>.10. Договор составлен и подписан в двух экземплярах - по одному для каждой Стороны, каждый экземпляр идентичен и имеет одинаковую юридическую силу.</w:t>
      </w:r>
    </w:p>
    <w:p w:rsidR="009078C9" w:rsidRDefault="009078C9" w:rsidP="009078C9"/>
    <w:p w:rsidR="009078C9" w:rsidRDefault="009078C9" w:rsidP="009078C9"/>
    <w:p w:rsidR="009078C9" w:rsidRDefault="009078C9" w:rsidP="009078C9"/>
    <w:p w:rsidR="009078C9" w:rsidRDefault="009078C9" w:rsidP="009078C9"/>
    <w:p w:rsidR="009078C9" w:rsidRPr="007D21BE" w:rsidRDefault="009078C9" w:rsidP="009078C9"/>
    <w:p w:rsidR="009078C9" w:rsidRPr="009078C9" w:rsidRDefault="009078C9" w:rsidP="009078C9">
      <w:pPr>
        <w:pStyle w:val="1"/>
        <w:jc w:val="center"/>
        <w:rPr>
          <w:color w:val="auto"/>
        </w:rPr>
      </w:pPr>
      <w:r w:rsidRPr="009078C9">
        <w:rPr>
          <w:color w:val="auto"/>
        </w:rPr>
        <w:lastRenderedPageBreak/>
        <w:t>6. ОБСТОЯТЕЛЬСТВА НЕПРЕОДОЛИМОЙ СИЛЫ (ФОРС-МАЖОР)</w:t>
      </w:r>
    </w:p>
    <w:p w:rsidR="009078C9" w:rsidRDefault="009078C9" w:rsidP="009078C9"/>
    <w:p w:rsidR="009078C9" w:rsidRPr="007D21BE" w:rsidRDefault="009078C9" w:rsidP="009078C9">
      <w:r>
        <w:t>6</w:t>
      </w:r>
      <w:r w:rsidRPr="007D21BE">
        <w:t>.1.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9078C9" w:rsidRPr="007D21BE" w:rsidRDefault="009078C9" w:rsidP="009078C9">
      <w:r>
        <w:t>6</w:t>
      </w:r>
      <w:r w:rsidRPr="007D21BE">
        <w:t>.2.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изменения в действующем законодательстве, делающие невозможными исполнение обязательств по Договору в соответствии с законным порядком. Данный перечень форс-мажорных обстоятельств не является исчерпывающим.</w:t>
      </w:r>
    </w:p>
    <w:p w:rsidR="009078C9" w:rsidRPr="007D21BE" w:rsidRDefault="009078C9" w:rsidP="009078C9">
      <w:r>
        <w:t>6</w:t>
      </w:r>
      <w:r w:rsidRPr="007D21BE">
        <w:t>.3. Сторона по Договору, затронутая обстоятельствами непреодолимой силы, должна письменно и немедленно известить имеющимися средствами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действием обстоятельств непреодолимой силы, не может на него ссылаться как на основание освобождения от ответственности.</w:t>
      </w:r>
    </w:p>
    <w:p w:rsidR="009078C9" w:rsidRPr="007D21BE" w:rsidRDefault="009078C9" w:rsidP="009078C9">
      <w:r>
        <w:t>6</w:t>
      </w:r>
      <w:r w:rsidRPr="007D21BE">
        <w:t>.4. 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9078C9" w:rsidRPr="007D21BE" w:rsidRDefault="009078C9" w:rsidP="009078C9">
      <w:r>
        <w:t>6</w:t>
      </w:r>
      <w:r w:rsidRPr="007D21BE">
        <w:t>.5.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9078C9" w:rsidRPr="007D21BE" w:rsidRDefault="009078C9" w:rsidP="009078C9">
      <w:r>
        <w:t>6</w:t>
      </w:r>
      <w:r w:rsidRPr="007D21BE">
        <w:t>.6. Если действие обстоятельств непреодолимой силы продолжается более 3 (трех) месяцев, Стороны должны принять решение о судьбе Договора. Если соглашение Сторонами не достигнуто, любая из Сторон вправе в одностороннем порядке расторгнуть Договор путем направления заказным письмом другой Стороне соответствующего извещения.</w:t>
      </w:r>
    </w:p>
    <w:p w:rsidR="009078C9" w:rsidRPr="007D21BE" w:rsidRDefault="009078C9" w:rsidP="009078C9">
      <w:r>
        <w:t>6</w:t>
      </w:r>
      <w:r w:rsidRPr="007D21BE">
        <w:t>.7. Обязанность доказывания наступления обстоятельств непреодолимой силы, ложится на Сторону, которая приостанавливает исполнение обязательств по Договору, в связи с наступлением обстоятельств непреодолимой силы.</w:t>
      </w:r>
    </w:p>
    <w:p w:rsidR="009078C9" w:rsidRDefault="009078C9" w:rsidP="009078C9">
      <w:r>
        <w:t>6</w:t>
      </w:r>
      <w:r w:rsidRPr="007D21BE">
        <w:t>.8. . Наступление обстоятельств непреодолимой силы должно быть подтверждено документами компетентных органов.</w:t>
      </w:r>
    </w:p>
    <w:p w:rsidR="009078C9" w:rsidRPr="007D21BE" w:rsidRDefault="009078C9" w:rsidP="009078C9"/>
    <w:p w:rsidR="009078C9" w:rsidRPr="009078C9" w:rsidRDefault="009078C9" w:rsidP="009078C9">
      <w:pPr>
        <w:pStyle w:val="1"/>
        <w:jc w:val="center"/>
        <w:rPr>
          <w:color w:val="auto"/>
        </w:rPr>
      </w:pPr>
      <w:r w:rsidRPr="009078C9">
        <w:rPr>
          <w:color w:val="auto"/>
        </w:rPr>
        <w:t>7. ПРИЛОЖЕНИЯ К ДОГОВОРУ.</w:t>
      </w:r>
    </w:p>
    <w:p w:rsidR="009078C9" w:rsidRPr="009B1572" w:rsidRDefault="009078C9" w:rsidP="009078C9"/>
    <w:p w:rsidR="009078C9" w:rsidRPr="007D21BE" w:rsidRDefault="009078C9" w:rsidP="009078C9">
      <w:r w:rsidRPr="007D21BE">
        <w:t>К Договору прилагаются и являются его неотъемлемой частью:</w:t>
      </w:r>
    </w:p>
    <w:p w:rsidR="009078C9" w:rsidRPr="007D21BE" w:rsidRDefault="009078C9" w:rsidP="009078C9">
      <w:r w:rsidRPr="007D21BE">
        <w:t xml:space="preserve">Приложение № 1 – </w:t>
      </w:r>
      <w:r>
        <w:t>Протокол</w:t>
      </w:r>
      <w:r w:rsidRPr="007D21BE">
        <w:t xml:space="preserve"> согласования договорной цены</w:t>
      </w:r>
    </w:p>
    <w:p w:rsidR="009078C9" w:rsidRDefault="009078C9" w:rsidP="009078C9">
      <w:r w:rsidRPr="007D21BE">
        <w:t>Приложение № 2 – Перечень исходных данных для проектирования</w:t>
      </w:r>
    </w:p>
    <w:p w:rsidR="009078C9" w:rsidRPr="007D21BE" w:rsidRDefault="009078C9" w:rsidP="009078C9"/>
    <w:p w:rsidR="009078C9" w:rsidRPr="009078C9" w:rsidRDefault="009078C9" w:rsidP="009078C9">
      <w:pPr>
        <w:pStyle w:val="1"/>
        <w:jc w:val="center"/>
        <w:rPr>
          <w:color w:val="auto"/>
        </w:rPr>
      </w:pPr>
      <w:r w:rsidRPr="009078C9">
        <w:rPr>
          <w:color w:val="auto"/>
        </w:rPr>
        <w:t>8. СРОК ДЕЙСТВИЯ ДОГОВОРА.</w:t>
      </w:r>
    </w:p>
    <w:p w:rsidR="009078C9" w:rsidRPr="009B1572" w:rsidRDefault="009078C9" w:rsidP="009078C9"/>
    <w:p w:rsidR="009078C9" w:rsidRPr="007D21BE" w:rsidRDefault="009078C9" w:rsidP="009078C9">
      <w:r>
        <w:t>8</w:t>
      </w:r>
      <w:r w:rsidRPr="007D21BE">
        <w:t>.1. Срок действия Договора: начало: с момента подписания Договора; окончание: до момента полного выполнения обязательств Сторонами.</w:t>
      </w:r>
    </w:p>
    <w:p w:rsidR="009078C9" w:rsidRPr="007D21BE" w:rsidRDefault="009078C9" w:rsidP="009078C9">
      <w:r>
        <w:t>8</w:t>
      </w:r>
      <w:r w:rsidRPr="007D21BE">
        <w:t>.2. Договор может быть расторгнут:</w:t>
      </w:r>
    </w:p>
    <w:p w:rsidR="009078C9" w:rsidRPr="007D21BE" w:rsidRDefault="009078C9" w:rsidP="009078C9">
      <w:r>
        <w:t>8</w:t>
      </w:r>
      <w:r w:rsidRPr="007D21BE">
        <w:t>.2.1. По взаимному согласию Сторон.</w:t>
      </w:r>
    </w:p>
    <w:p w:rsidR="009078C9" w:rsidRPr="007D21BE" w:rsidRDefault="009078C9" w:rsidP="009078C9">
      <w:r>
        <w:t>8</w:t>
      </w:r>
      <w:r w:rsidRPr="007D21BE">
        <w:t>.2.2. По инициативе Заказчика, при этом он письменно информирует Подрядчика о своем решении и обязуется принять и оплатить работы, документально доказанные выполненные Подрядчиком до получения извещения об отказе Заказчика от исполнения Договора.</w:t>
      </w:r>
    </w:p>
    <w:p w:rsidR="009078C9" w:rsidRPr="007D21BE" w:rsidRDefault="009078C9" w:rsidP="009078C9">
      <w:r>
        <w:t>8</w:t>
      </w:r>
      <w:r w:rsidRPr="007D21BE">
        <w:t>.2.3. В случае аннулирования, либо приостановления уполномоченными на то государственными органами действия соответствующих свидетельств о допуске к работам.</w:t>
      </w:r>
    </w:p>
    <w:p w:rsidR="009078C9" w:rsidRPr="007D21BE" w:rsidRDefault="009078C9" w:rsidP="009078C9">
      <w:r>
        <w:t>8</w:t>
      </w:r>
      <w:r w:rsidRPr="007D21BE">
        <w:t>.2.</w:t>
      </w:r>
      <w:r>
        <w:t>4</w:t>
      </w:r>
      <w:r w:rsidRPr="007D21BE">
        <w:t>. По инициативе Подрядчика: в случае ненадлежащего выполнения Заказчиком принятых на себя обязательств по Договору, в том числе при задержке оплаты работ Подрядчика на срок более чем 28 календарных дней с момента, определенного в п.2.2. Договора.</w:t>
      </w:r>
    </w:p>
    <w:p w:rsidR="009078C9" w:rsidRPr="009078C9" w:rsidRDefault="009078C9" w:rsidP="009078C9">
      <w:pPr>
        <w:pStyle w:val="1"/>
        <w:jc w:val="center"/>
        <w:rPr>
          <w:color w:val="auto"/>
        </w:rPr>
      </w:pPr>
      <w:r w:rsidRPr="009078C9">
        <w:rPr>
          <w:color w:val="auto"/>
        </w:rPr>
        <w:t>9. ЗАКЛЮЧИТЕЛЬНЫЕ ПОЛОЖЕНИЯ</w:t>
      </w:r>
    </w:p>
    <w:p w:rsidR="009078C9" w:rsidRPr="007D21BE" w:rsidRDefault="009078C9" w:rsidP="009078C9">
      <w:r>
        <w:t>9</w:t>
      </w:r>
      <w:r w:rsidRPr="007D21BE">
        <w:t>.1. Договор составлен в двух экземплярах, имеющих равную силу, по одному для каждой из Сторон.</w:t>
      </w:r>
    </w:p>
    <w:p w:rsidR="009078C9" w:rsidRDefault="009078C9" w:rsidP="009078C9">
      <w:pPr>
        <w:pStyle w:val="1"/>
      </w:pPr>
    </w:p>
    <w:p w:rsidR="009078C9" w:rsidRPr="009078C9" w:rsidRDefault="009078C9" w:rsidP="009078C9">
      <w:pPr>
        <w:pStyle w:val="1"/>
        <w:jc w:val="center"/>
        <w:rPr>
          <w:color w:val="auto"/>
        </w:rPr>
      </w:pPr>
      <w:r w:rsidRPr="009078C9">
        <w:rPr>
          <w:color w:val="auto"/>
        </w:rPr>
        <w:t>10. АДРЕСА И БАНКОВСКИЕ РЕКВИЗИТЫ СТОРОН.</w:t>
      </w:r>
    </w:p>
    <w:p w:rsidR="009078C9" w:rsidRPr="00AA3FDA" w:rsidRDefault="009078C9" w:rsidP="009078C9"/>
    <w:p w:rsidR="009078C9" w:rsidRPr="00B92960" w:rsidRDefault="009078C9" w:rsidP="009078C9"/>
    <w:p w:rsidR="009078C9" w:rsidRDefault="009078C9" w:rsidP="009078C9">
      <w:r>
        <w:t>10</w:t>
      </w:r>
      <w:r w:rsidRPr="007D21BE">
        <w:t>.1. </w:t>
      </w:r>
      <w:r>
        <w:t>Подрядчик</w:t>
      </w:r>
      <w:r w:rsidRPr="007D21BE">
        <w:t xml:space="preserve">: </w:t>
      </w:r>
    </w:p>
    <w:p w:rsidR="009078C9" w:rsidRDefault="009078C9" w:rsidP="009078C9">
      <w:r w:rsidRPr="00E62305">
        <w:rPr>
          <w:b/>
          <w:sz w:val="28"/>
          <w:szCs w:val="28"/>
        </w:rPr>
        <w:t>ООО «</w:t>
      </w:r>
      <w:proofErr w:type="spellStart"/>
      <w:r w:rsidRPr="00E62305">
        <w:rPr>
          <w:b/>
          <w:sz w:val="28"/>
          <w:szCs w:val="28"/>
        </w:rPr>
        <w:t>Техногрунт</w:t>
      </w:r>
      <w:proofErr w:type="spellEnd"/>
      <w:r w:rsidRPr="00E62305">
        <w:rPr>
          <w:b/>
          <w:sz w:val="28"/>
          <w:szCs w:val="28"/>
        </w:rPr>
        <w:t>»</w:t>
      </w:r>
      <w:r w:rsidRPr="007D21BE">
        <w:t xml:space="preserve"> </w:t>
      </w:r>
    </w:p>
    <w:p w:rsidR="009078C9" w:rsidRPr="007D21BE" w:rsidRDefault="009078C9" w:rsidP="009078C9">
      <w:r>
        <w:t xml:space="preserve">ОГРН </w:t>
      </w:r>
      <w:r w:rsidRPr="007D21BE">
        <w:fldChar w:fldCharType="begin"/>
      </w:r>
      <w:r w:rsidRPr="007D21BE">
        <w:instrText xml:space="preserve"> IF </w:instrText>
      </w:r>
      <w:fldSimple w:instr=" MERGEFIELD ОГРН ">
        <w:r w:rsidRPr="007D21BE">
          <w:rPr>
            <w:noProof/>
          </w:rPr>
          <w:instrText>1107746385779</w:instrText>
        </w:r>
      </w:fldSimple>
      <w:r w:rsidRPr="007D21BE">
        <w:instrText xml:space="preserve"> = 0 "" "(ОГРН 1107746063040)" </w:instrText>
      </w:r>
      <w:r w:rsidRPr="007D21BE">
        <w:fldChar w:fldCharType="separate"/>
      </w:r>
      <w:r w:rsidRPr="00553FA5">
        <w:rPr>
          <w:noProof/>
        </w:rPr>
        <w:t>1157746281428</w:t>
      </w:r>
      <w:r w:rsidRPr="007D21BE">
        <w:fldChar w:fldCharType="end"/>
      </w:r>
      <w:r w:rsidRPr="007D21BE">
        <w:t>;</w:t>
      </w:r>
    </w:p>
    <w:p w:rsidR="009078C9" w:rsidRPr="00247336" w:rsidRDefault="009078C9" w:rsidP="009078C9">
      <w:r w:rsidRPr="007D21BE">
        <w:t xml:space="preserve">Адрес: </w:t>
      </w:r>
      <w:r w:rsidRPr="00553FA5">
        <w:t xml:space="preserve">115230, г. Москва, Хлебозаводский проезд, д. 7, стр. 9, </w:t>
      </w:r>
      <w:proofErr w:type="spellStart"/>
      <w:r w:rsidRPr="00553FA5">
        <w:t>оф</w:t>
      </w:r>
      <w:proofErr w:type="spellEnd"/>
      <w:r w:rsidRPr="00553FA5">
        <w:t>. 901</w:t>
      </w:r>
    </w:p>
    <w:p w:rsidR="009078C9" w:rsidRDefault="009078C9" w:rsidP="009078C9">
      <w:r w:rsidRPr="007D21BE">
        <w:t>ИНН</w:t>
      </w:r>
      <w:r w:rsidRPr="00247336">
        <w:t>\</w:t>
      </w:r>
      <w:r w:rsidRPr="007D21BE">
        <w:t>КПП</w:t>
      </w:r>
      <w:r w:rsidRPr="00247336">
        <w:t xml:space="preserve"> </w:t>
      </w:r>
      <w:r w:rsidRPr="00553FA5">
        <w:t>7724312215</w:t>
      </w:r>
      <w:r w:rsidRPr="00727FCB">
        <w:t>/</w:t>
      </w:r>
      <w:r w:rsidRPr="00553FA5">
        <w:t>772401001</w:t>
      </w:r>
      <w:r w:rsidRPr="00247336">
        <w:t>;</w:t>
      </w:r>
    </w:p>
    <w:p w:rsidR="009078C9" w:rsidRDefault="009078C9" w:rsidP="009078C9">
      <w:r>
        <w:t>Р/с 40702810310050020172 в Ф ТОЧКА БАНК КИВИ БАНК (АО) г. Москва;</w:t>
      </w:r>
    </w:p>
    <w:p w:rsidR="009078C9" w:rsidRPr="00247336" w:rsidRDefault="009078C9" w:rsidP="009078C9">
      <w:r>
        <w:t>К/с 30101810445250000797;</w:t>
      </w:r>
    </w:p>
    <w:p w:rsidR="009078C9" w:rsidRDefault="009078C9" w:rsidP="009078C9">
      <w:r>
        <w:t>БИК 044525797</w:t>
      </w:r>
    </w:p>
    <w:p w:rsidR="009078C9" w:rsidRPr="007D21BE" w:rsidRDefault="009078C9" w:rsidP="009078C9"/>
    <w:p w:rsidR="009078C9" w:rsidRDefault="009078C9" w:rsidP="009078C9">
      <w:r>
        <w:t>10</w:t>
      </w:r>
      <w:r w:rsidRPr="007D21BE">
        <w:t>.2. </w:t>
      </w:r>
      <w:r>
        <w:t>Заказчик:</w:t>
      </w:r>
      <w:r w:rsidRPr="007D21BE">
        <w:t xml:space="preserve"> </w:t>
      </w:r>
    </w:p>
    <w:p w:rsidR="009078C9" w:rsidRPr="00E62305" w:rsidRDefault="009078C9" w:rsidP="009078C9">
      <w:pPr>
        <w:rPr>
          <w:b/>
          <w:sz w:val="28"/>
          <w:szCs w:val="28"/>
        </w:rPr>
      </w:pPr>
      <w:r w:rsidRPr="00E62305">
        <w:rPr>
          <w:b/>
          <w:sz w:val="28"/>
          <w:szCs w:val="28"/>
        </w:rPr>
        <w:t xml:space="preserve">НУТ «Центр развития и освоения технологий переработки вторичных ресурсов» </w:t>
      </w:r>
    </w:p>
    <w:p w:rsidR="009078C9" w:rsidRPr="00247336" w:rsidRDefault="009078C9" w:rsidP="009078C9">
      <w:r>
        <w:t>ОГРН 1027700157242</w:t>
      </w:r>
      <w:r w:rsidRPr="00247336">
        <w:t>;</w:t>
      </w:r>
    </w:p>
    <w:p w:rsidR="009078C9" w:rsidRDefault="009078C9" w:rsidP="009078C9">
      <w:r w:rsidRPr="00247336">
        <w:t>Адрес:</w:t>
      </w:r>
      <w:r>
        <w:t xml:space="preserve"> 121471, г. Москва, ул. Рябиновая, д. 46, стр. 13, </w:t>
      </w:r>
      <w:proofErr w:type="spellStart"/>
      <w:r>
        <w:t>кв.оф</w:t>
      </w:r>
      <w:proofErr w:type="spellEnd"/>
      <w:r>
        <w:t>. 204.</w:t>
      </w:r>
      <w:r w:rsidRPr="00247336">
        <w:t xml:space="preserve"> </w:t>
      </w:r>
    </w:p>
    <w:p w:rsidR="009078C9" w:rsidRPr="00247336" w:rsidRDefault="009078C9" w:rsidP="009078C9">
      <w:r w:rsidRPr="00247336">
        <w:t>ИНН\КПП</w:t>
      </w:r>
      <w:r>
        <w:t xml:space="preserve"> 7705107468/772901001</w:t>
      </w:r>
      <w:r w:rsidRPr="00247336">
        <w:t>;</w:t>
      </w:r>
    </w:p>
    <w:p w:rsidR="009078C9" w:rsidRPr="00247336" w:rsidRDefault="009078C9" w:rsidP="009078C9">
      <w:r w:rsidRPr="00247336">
        <w:t xml:space="preserve">Р/с </w:t>
      </w:r>
      <w:r>
        <w:rPr>
          <w:rFonts w:ascii="Times New Roman CYR" w:hAnsi="Times New Roman CYR" w:cs="Times New Roman CYR"/>
        </w:rPr>
        <w:t>40703810500000001077</w:t>
      </w:r>
      <w:r w:rsidRPr="00247336">
        <w:rPr>
          <w:rFonts w:ascii="Times New Roman CYR" w:hAnsi="Times New Roman CYR" w:cs="Times New Roman CYR"/>
        </w:rPr>
        <w:t xml:space="preserve"> </w:t>
      </w:r>
      <w:r>
        <w:rPr>
          <w:rFonts w:ascii="Times New Roman CYR" w:hAnsi="Times New Roman CYR" w:cs="Times New Roman CYR"/>
        </w:rPr>
        <w:t>в</w:t>
      </w:r>
      <w:r w:rsidRPr="00247336">
        <w:rPr>
          <w:rFonts w:ascii="Times New Roman CYR" w:hAnsi="Times New Roman CYR" w:cs="Times New Roman CYR"/>
        </w:rPr>
        <w:t xml:space="preserve"> </w:t>
      </w:r>
      <w:r>
        <w:rPr>
          <w:rFonts w:ascii="Times New Roman CYR" w:hAnsi="Times New Roman CYR" w:cs="Times New Roman CYR"/>
        </w:rPr>
        <w:t>П</w:t>
      </w:r>
      <w:r w:rsidRPr="00247336">
        <w:rPr>
          <w:rFonts w:ascii="Times New Roman CYR" w:hAnsi="Times New Roman CYR" w:cs="Times New Roman CYR"/>
        </w:rPr>
        <w:t xml:space="preserve">АО </w:t>
      </w:r>
      <w:r>
        <w:rPr>
          <w:rFonts w:ascii="Times New Roman CYR" w:hAnsi="Times New Roman CYR" w:cs="Times New Roman CYR"/>
        </w:rPr>
        <w:t>"ПРОМСВЯЗЬБАНК"</w:t>
      </w:r>
      <w:r w:rsidRPr="00247336">
        <w:rPr>
          <w:rFonts w:ascii="Times New Roman CYR" w:hAnsi="Times New Roman CYR" w:cs="Times New Roman CYR"/>
        </w:rPr>
        <w:t>;</w:t>
      </w:r>
    </w:p>
    <w:p w:rsidR="009078C9" w:rsidRPr="007D21BE" w:rsidRDefault="009078C9" w:rsidP="009078C9">
      <w:pPr>
        <w:rPr>
          <w:rFonts w:ascii="Times New Roman CYR" w:hAnsi="Times New Roman CYR" w:cs="Times New Roman CYR"/>
        </w:rPr>
      </w:pPr>
      <w:r w:rsidRPr="00247336">
        <w:t>К/с</w:t>
      </w:r>
      <w:r>
        <w:rPr>
          <w:rFonts w:ascii="Times New Roman CYR" w:hAnsi="Times New Roman CYR" w:cs="Times New Roman CYR"/>
        </w:rPr>
        <w:t xml:space="preserve"> 30101810400000000555</w:t>
      </w:r>
      <w:r w:rsidRPr="00247336">
        <w:rPr>
          <w:rFonts w:ascii="Times New Roman CYR" w:hAnsi="Times New Roman CYR" w:cs="Times New Roman CYR"/>
        </w:rPr>
        <w:t>;</w:t>
      </w:r>
      <w:r w:rsidRPr="00247336">
        <w:t xml:space="preserve"> БИК</w:t>
      </w:r>
      <w:r>
        <w:rPr>
          <w:rFonts w:ascii="Times New Roman CYR" w:hAnsi="Times New Roman CYR" w:cs="Times New Roman CYR"/>
        </w:rPr>
        <w:t xml:space="preserve"> 044525555</w:t>
      </w:r>
      <w:r w:rsidRPr="007D21BE">
        <w:rPr>
          <w:rFonts w:ascii="Times New Roman CYR" w:hAnsi="Times New Roman CYR" w:cs="Times New Roman CYR"/>
        </w:rPr>
        <w:t>.</w:t>
      </w:r>
    </w:p>
    <w:p w:rsidR="009078C9" w:rsidRPr="007D21BE" w:rsidRDefault="009078C9" w:rsidP="009078C9"/>
    <w:p w:rsidR="009078C9" w:rsidRPr="007D21BE" w:rsidRDefault="009078C9" w:rsidP="009078C9"/>
    <w:tbl>
      <w:tblPr>
        <w:tblW w:w="0" w:type="auto"/>
        <w:tblLook w:val="04A0"/>
      </w:tblPr>
      <w:tblGrid>
        <w:gridCol w:w="5211"/>
        <w:gridCol w:w="4962"/>
      </w:tblGrid>
      <w:tr w:rsidR="009078C9" w:rsidRPr="007D21BE" w:rsidTr="00DA6A46">
        <w:tc>
          <w:tcPr>
            <w:tcW w:w="5211" w:type="dxa"/>
            <w:shd w:val="clear" w:color="auto" w:fill="auto"/>
          </w:tcPr>
          <w:p w:rsidR="009078C9" w:rsidRPr="007D21BE" w:rsidRDefault="009078C9" w:rsidP="00DA6A46">
            <w:pPr>
              <w:jc w:val="center"/>
            </w:pPr>
            <w:r w:rsidRPr="007D21BE">
              <w:t>Генеральный директор</w:t>
            </w:r>
            <w:r w:rsidRPr="007D21BE">
              <w:br/>
              <w:t>ООО «</w:t>
            </w:r>
            <w:proofErr w:type="spellStart"/>
            <w:r w:rsidRPr="00553FA5">
              <w:t>Техногрунт</w:t>
            </w:r>
            <w:proofErr w:type="spellEnd"/>
            <w:r w:rsidRPr="007D21BE">
              <w:t>»</w:t>
            </w:r>
          </w:p>
          <w:p w:rsidR="009078C9" w:rsidRPr="007D21BE" w:rsidRDefault="009078C9" w:rsidP="00DA6A46">
            <w:pPr>
              <w:jc w:val="center"/>
            </w:pPr>
          </w:p>
        </w:tc>
        <w:tc>
          <w:tcPr>
            <w:tcW w:w="4962" w:type="dxa"/>
            <w:shd w:val="clear" w:color="auto" w:fill="auto"/>
          </w:tcPr>
          <w:p w:rsidR="009078C9" w:rsidRPr="00247336" w:rsidRDefault="009078C9" w:rsidP="00DA6A46">
            <w:pPr>
              <w:jc w:val="center"/>
            </w:pPr>
            <w:r w:rsidRPr="00247336">
              <w:t>Генеральн</w:t>
            </w:r>
            <w:r>
              <w:t>ый директор</w:t>
            </w:r>
            <w:r>
              <w:br/>
              <w:t>НУТ</w:t>
            </w:r>
            <w:r w:rsidRPr="00247336">
              <w:t xml:space="preserve"> «</w:t>
            </w:r>
            <w:r>
              <w:t>Центр развития и освоения технологий переработки вторичных ресурсов</w:t>
            </w:r>
            <w:r w:rsidRPr="00247336">
              <w:t>»</w:t>
            </w:r>
          </w:p>
          <w:p w:rsidR="009078C9" w:rsidRPr="00247336" w:rsidRDefault="009078C9" w:rsidP="00DA6A46">
            <w:pPr>
              <w:jc w:val="center"/>
            </w:pPr>
          </w:p>
        </w:tc>
      </w:tr>
      <w:tr w:rsidR="009078C9" w:rsidRPr="007D21BE" w:rsidTr="00DA6A46">
        <w:tc>
          <w:tcPr>
            <w:tcW w:w="5211" w:type="dxa"/>
            <w:shd w:val="clear" w:color="auto" w:fill="auto"/>
          </w:tcPr>
          <w:p w:rsidR="009078C9" w:rsidRPr="007D21BE" w:rsidRDefault="009078C9" w:rsidP="00DA6A46">
            <w:pPr>
              <w:jc w:val="right"/>
            </w:pPr>
            <w:r w:rsidRPr="007D21BE">
              <w:tab/>
            </w:r>
            <w:proofErr w:type="spellStart"/>
            <w:r w:rsidRPr="007D21BE">
              <w:t>__________________</w:t>
            </w:r>
            <w:r>
              <w:t>Дмитриев</w:t>
            </w:r>
            <w:proofErr w:type="spellEnd"/>
            <w:r>
              <w:t xml:space="preserve"> А.Э</w:t>
            </w:r>
            <w:r w:rsidRPr="007D21BE">
              <w:t>.</w:t>
            </w:r>
          </w:p>
        </w:tc>
        <w:tc>
          <w:tcPr>
            <w:tcW w:w="4962" w:type="dxa"/>
            <w:shd w:val="clear" w:color="auto" w:fill="auto"/>
          </w:tcPr>
          <w:p w:rsidR="009078C9" w:rsidRPr="00247336" w:rsidRDefault="009078C9" w:rsidP="00DA6A46">
            <w:pPr>
              <w:jc w:val="right"/>
            </w:pPr>
            <w:r w:rsidRPr="00247336">
              <w:t>__________________</w:t>
            </w:r>
            <w:r>
              <w:t xml:space="preserve"> Манилов А.В.</w:t>
            </w:r>
          </w:p>
        </w:tc>
      </w:tr>
      <w:tr w:rsidR="009078C9" w:rsidRPr="007D21BE" w:rsidTr="00DA6A46">
        <w:tc>
          <w:tcPr>
            <w:tcW w:w="5211" w:type="dxa"/>
            <w:shd w:val="clear" w:color="auto" w:fill="auto"/>
          </w:tcPr>
          <w:p w:rsidR="009078C9" w:rsidRPr="007D21BE" w:rsidRDefault="009078C9" w:rsidP="00DA6A46">
            <w:pPr>
              <w:jc w:val="center"/>
            </w:pPr>
            <w:r w:rsidRPr="007D21BE">
              <w:t>м.п.</w:t>
            </w:r>
          </w:p>
        </w:tc>
        <w:tc>
          <w:tcPr>
            <w:tcW w:w="4962" w:type="dxa"/>
            <w:shd w:val="clear" w:color="auto" w:fill="auto"/>
          </w:tcPr>
          <w:p w:rsidR="009078C9" w:rsidRPr="00247336" w:rsidRDefault="009078C9" w:rsidP="00DA6A46">
            <w:pPr>
              <w:jc w:val="center"/>
            </w:pPr>
            <w:r w:rsidRPr="00247336">
              <w:t>м.п.</w:t>
            </w:r>
          </w:p>
        </w:tc>
      </w:tr>
      <w:tr w:rsidR="009078C9" w:rsidRPr="007D21BE" w:rsidTr="00DA6A46">
        <w:tc>
          <w:tcPr>
            <w:tcW w:w="5211" w:type="dxa"/>
            <w:shd w:val="clear" w:color="auto" w:fill="auto"/>
          </w:tcPr>
          <w:p w:rsidR="009078C9" w:rsidRPr="007D21BE" w:rsidRDefault="009078C9" w:rsidP="00DA6A46">
            <w:pPr>
              <w:rPr>
                <w:sz w:val="22"/>
                <w:szCs w:val="22"/>
              </w:rPr>
            </w:pPr>
          </w:p>
        </w:tc>
        <w:tc>
          <w:tcPr>
            <w:tcW w:w="4962" w:type="dxa"/>
            <w:shd w:val="clear" w:color="auto" w:fill="auto"/>
          </w:tcPr>
          <w:p w:rsidR="009078C9" w:rsidRPr="007D21BE" w:rsidRDefault="009078C9" w:rsidP="00DA6A46">
            <w:pPr>
              <w:rPr>
                <w:sz w:val="22"/>
                <w:szCs w:val="22"/>
              </w:rPr>
            </w:pPr>
          </w:p>
        </w:tc>
      </w:tr>
    </w:tbl>
    <w:p w:rsidR="009078C9" w:rsidRPr="007D21BE" w:rsidRDefault="009078C9" w:rsidP="009078C9">
      <w:pPr>
        <w:jc w:val="right"/>
      </w:pPr>
      <w:r w:rsidRPr="007D21BE">
        <w:br w:type="page"/>
      </w:r>
      <w:r w:rsidRPr="007D21BE">
        <w:lastRenderedPageBreak/>
        <w:t>Приложение 1</w:t>
      </w:r>
      <w:r w:rsidRPr="007D21BE">
        <w:br/>
        <w:t>к Договору №</w:t>
      </w:r>
      <w:r>
        <w:t xml:space="preserve"> Ю-209</w:t>
      </w:r>
      <w:r w:rsidRPr="007D21BE">
        <w:t xml:space="preserve"> от </w:t>
      </w:r>
      <w:fldSimple w:instr=" MERGEFIELD дата_цифрами ">
        <w:r>
          <w:rPr>
            <w:noProof/>
          </w:rPr>
          <w:t>28</w:t>
        </w:r>
        <w:r w:rsidRPr="007D21BE">
          <w:rPr>
            <w:noProof/>
          </w:rPr>
          <w:t>.</w:t>
        </w:r>
        <w:r>
          <w:rPr>
            <w:noProof/>
          </w:rPr>
          <w:t>02</w:t>
        </w:r>
        <w:r w:rsidRPr="007D21BE">
          <w:rPr>
            <w:noProof/>
          </w:rPr>
          <w:t>.201</w:t>
        </w:r>
        <w:r>
          <w:rPr>
            <w:noProof/>
          </w:rPr>
          <w:t xml:space="preserve">9 </w:t>
        </w:r>
        <w:r w:rsidRPr="007D21BE">
          <w:rPr>
            <w:noProof/>
          </w:rPr>
          <w:t>г.</w:t>
        </w:r>
      </w:fldSimple>
    </w:p>
    <w:p w:rsidR="009078C9" w:rsidRPr="007D21BE" w:rsidRDefault="009078C9" w:rsidP="009078C9">
      <w:pPr>
        <w:pStyle w:val="1"/>
      </w:pPr>
      <w:r w:rsidRPr="00C21DB4">
        <w:rPr>
          <w:b w:val="0"/>
        </w:rPr>
        <w:t>Протоколом согласования договорной цены</w:t>
      </w:r>
      <w:r w:rsidRPr="00C21DB4">
        <w:br/>
        <w:t>на выполнение проектных работ по разработке</w:t>
      </w:r>
      <w:r w:rsidRPr="00C21DB4">
        <w:br/>
        <w:t xml:space="preserve">и согласованию в соответствии с действующим законодательством РФ и г. Москвы «Технологического регламента процесса обращения с отходами строительства и сноса» </w:t>
      </w:r>
      <w:r>
        <w:t xml:space="preserve">                  объекта по адресу</w:t>
      </w:r>
      <w:r w:rsidRPr="00C21DB4">
        <w:t xml:space="preserve">: </w:t>
      </w:r>
      <w:r>
        <w:t>г. Москва, Варшавское шоссе, д. 25А</w:t>
      </w:r>
      <w:r w:rsidRPr="00C21DB4">
        <w:t>.</w:t>
      </w:r>
    </w:p>
    <w:p w:rsidR="009078C9" w:rsidRPr="007D21BE" w:rsidRDefault="009078C9" w:rsidP="009078C9">
      <w:pPr>
        <w:ind w:right="35" w:firstLine="708"/>
        <w:rPr>
          <w:sz w:val="10"/>
          <w:szCs w:val="10"/>
        </w:rPr>
      </w:pPr>
    </w:p>
    <w:p w:rsidR="009078C9" w:rsidRPr="007D21BE" w:rsidRDefault="009078C9" w:rsidP="009078C9">
      <w:pPr>
        <w:ind w:right="35" w:firstLine="708"/>
      </w:pPr>
    </w:p>
    <w:p w:rsidR="009078C9" w:rsidRPr="007D21BE" w:rsidRDefault="009078C9" w:rsidP="009078C9">
      <w:pPr>
        <w:ind w:right="35" w:firstLine="708"/>
      </w:pPr>
      <w:r w:rsidRPr="007D21BE">
        <w:t>Мы, нижеподписавшиеся, Общество с ограниченной ответственностью «</w:t>
      </w:r>
      <w:proofErr w:type="spellStart"/>
      <w:r w:rsidRPr="00553FA5">
        <w:t>Техногрунт</w:t>
      </w:r>
      <w:proofErr w:type="spellEnd"/>
      <w:r w:rsidRPr="007D21BE">
        <w:t>» (</w:t>
      </w:r>
      <w:r w:rsidRPr="00727FCB">
        <w:t>ООО «</w:t>
      </w:r>
      <w:proofErr w:type="spellStart"/>
      <w:r w:rsidRPr="00553FA5">
        <w:t>Техногрунт</w:t>
      </w:r>
      <w:proofErr w:type="spellEnd"/>
      <w:r w:rsidRPr="00727FCB">
        <w:t>»</w:t>
      </w:r>
      <w:r>
        <w:t>)</w:t>
      </w:r>
      <w:r w:rsidRPr="007D21BE">
        <w:t>, именуемое в дальнейшем «</w:t>
      </w:r>
      <w:r>
        <w:t>Подрядчик</w:t>
      </w:r>
      <w:r w:rsidRPr="007D21BE">
        <w:t xml:space="preserve">», в лице Генерального директора </w:t>
      </w:r>
      <w:r>
        <w:t>Дмитриева А. Э.</w:t>
      </w:r>
      <w:r w:rsidRPr="007D21BE">
        <w:t xml:space="preserve">, </w:t>
      </w:r>
      <w:r>
        <w:t xml:space="preserve"> </w:t>
      </w:r>
      <w:r w:rsidRPr="007D21BE">
        <w:t>действующего на основании Устава, с одной стороны и</w:t>
      </w:r>
      <w:r>
        <w:t xml:space="preserve"> Научно-техническое учреждение "Центр развития и освоения технологий переработки вторичных ресурсов"</w:t>
      </w:r>
      <w:r w:rsidRPr="00AE559C">
        <w:t>, именуемое в дальнейшем «</w:t>
      </w:r>
      <w:r>
        <w:t>Заказчик</w:t>
      </w:r>
      <w:r w:rsidRPr="00AE559C">
        <w:t>», в лице Г</w:t>
      </w:r>
      <w:r>
        <w:t>енерального директора Манилова А.В.</w:t>
      </w:r>
      <w:r w:rsidRPr="00AE559C">
        <w:t>,</w:t>
      </w:r>
      <w:r w:rsidRPr="007D21BE">
        <w:t xml:space="preserve"> действующего на основании Устава, с другой стороны, удостоверяем, что Сторонами достигнуто соглашение о величине договорной цены на выполнение работ:</w:t>
      </w:r>
    </w:p>
    <w:p w:rsidR="009078C9" w:rsidRPr="007D21BE" w:rsidRDefault="009078C9" w:rsidP="009078C9">
      <w:pPr>
        <w:ind w:right="35" w:firstLine="708"/>
      </w:pPr>
      <w:r w:rsidRPr="00C21DB4">
        <w:t xml:space="preserve">1. разработка и согласование в соответствии с действующим законодательством РФ и г. Москвы «Технологического регламента процесса обращения с отходами строительства и сноса» </w:t>
      </w:r>
      <w:r>
        <w:t>объекта по адресу</w:t>
      </w:r>
      <w:r w:rsidRPr="00C21DB4">
        <w:t>:</w:t>
      </w:r>
      <w:r>
        <w:t xml:space="preserve"> г. Москва, Варшавское шоссе, д. 25А</w:t>
      </w:r>
      <w:r w:rsidRPr="00C21DB4">
        <w:t>,</w:t>
      </w:r>
      <w:r w:rsidRPr="007D21BE">
        <w:t xml:space="preserve"> </w:t>
      </w:r>
    </w:p>
    <w:p w:rsidR="009078C9" w:rsidRPr="007D21BE" w:rsidRDefault="009078C9" w:rsidP="009078C9">
      <w:pPr>
        <w:ind w:right="35" w:firstLine="708"/>
      </w:pPr>
      <w:r w:rsidRPr="007D21BE">
        <w:t xml:space="preserve">в сумме эквивалентной </w:t>
      </w:r>
      <w:r>
        <w:t>250 000</w:t>
      </w:r>
      <w:r w:rsidRPr="007D21BE">
        <w:t>,00 (</w:t>
      </w:r>
      <w:r>
        <w:t>Двести пятьдесят тысяч</w:t>
      </w:r>
      <w:r w:rsidRPr="007D21BE">
        <w:t xml:space="preserve">) рублей 00 копеек, </w:t>
      </w:r>
      <w:r>
        <w:rPr>
          <w:color w:val="000000"/>
        </w:rPr>
        <w:t>в том числе НДС 20</w:t>
      </w:r>
      <w:r w:rsidRPr="00CC44BE">
        <w:rPr>
          <w:color w:val="000000"/>
        </w:rPr>
        <w:t xml:space="preserve">% </w:t>
      </w:r>
      <w:r w:rsidRPr="007D21BE">
        <w:t>.</w:t>
      </w:r>
    </w:p>
    <w:p w:rsidR="009078C9" w:rsidRDefault="009078C9" w:rsidP="009078C9">
      <w:pPr>
        <w:widowControl w:val="0"/>
        <w:autoSpaceDE w:val="0"/>
        <w:autoSpaceDN w:val="0"/>
        <w:adjustRightInd w:val="0"/>
        <w:rPr>
          <w:u w:color="000DFF"/>
        </w:rPr>
      </w:pPr>
      <w:r w:rsidRPr="007D21BE">
        <w:rPr>
          <w:u w:color="000DFF"/>
        </w:rPr>
        <w:t>объем выполняемых Работ:</w:t>
      </w:r>
    </w:p>
    <w:p w:rsidR="009078C9" w:rsidRPr="007D21BE" w:rsidRDefault="009078C9" w:rsidP="009078C9">
      <w:pPr>
        <w:widowControl w:val="0"/>
        <w:autoSpaceDE w:val="0"/>
        <w:autoSpaceDN w:val="0"/>
        <w:adjustRightInd w:val="0"/>
        <w:rPr>
          <w:u w:color="000DFF"/>
        </w:rPr>
      </w:pPr>
    </w:p>
    <w:tbl>
      <w:tblPr>
        <w:tblW w:w="6004" w:type="dxa"/>
        <w:tblInd w:w="1825" w:type="dxa"/>
        <w:tblLayout w:type="fixed"/>
        <w:tblCellMar>
          <w:left w:w="10" w:type="dxa"/>
          <w:right w:w="10" w:type="dxa"/>
        </w:tblCellMar>
        <w:tblLook w:val="0000"/>
      </w:tblPr>
      <w:tblGrid>
        <w:gridCol w:w="436"/>
        <w:gridCol w:w="3827"/>
        <w:gridCol w:w="1741"/>
      </w:tblGrid>
      <w:tr w:rsidR="009078C9" w:rsidRPr="007D21BE" w:rsidTr="00DA6A46">
        <w:trPr>
          <w:trHeight w:val="20"/>
        </w:trPr>
        <w:tc>
          <w:tcPr>
            <w:tcW w:w="436" w:type="dxa"/>
            <w:tcBorders>
              <w:top w:val="single" w:sz="4" w:space="0" w:color="auto"/>
              <w:left w:val="single" w:sz="4" w:space="0" w:color="auto"/>
            </w:tcBorders>
            <w:shd w:val="clear" w:color="auto" w:fill="FFFFFF"/>
          </w:tcPr>
          <w:p w:rsidR="009078C9" w:rsidRPr="007D21BE" w:rsidRDefault="009078C9" w:rsidP="00DA6A46">
            <w:pPr>
              <w:jc w:val="center"/>
            </w:pPr>
            <w:r w:rsidRPr="007D21BE">
              <w:rPr>
                <w:rFonts w:eastAsia="Arial"/>
              </w:rPr>
              <w:t>№</w:t>
            </w:r>
          </w:p>
        </w:tc>
        <w:tc>
          <w:tcPr>
            <w:tcW w:w="3827" w:type="dxa"/>
            <w:tcBorders>
              <w:top w:val="single" w:sz="4" w:space="0" w:color="auto"/>
              <w:left w:val="single" w:sz="4" w:space="0" w:color="auto"/>
            </w:tcBorders>
            <w:shd w:val="clear" w:color="auto" w:fill="FFFFFF"/>
          </w:tcPr>
          <w:p w:rsidR="009078C9" w:rsidRPr="007D21BE" w:rsidRDefault="009078C9" w:rsidP="00DA6A46">
            <w:pPr>
              <w:jc w:val="center"/>
            </w:pPr>
            <w:r w:rsidRPr="007D21BE">
              <w:rPr>
                <w:rFonts w:eastAsia="Arial"/>
              </w:rPr>
              <w:t>Наименование раздела в составе ТР</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9078C9" w:rsidRPr="007D21BE" w:rsidRDefault="009078C9" w:rsidP="00DA6A46">
            <w:pPr>
              <w:jc w:val="center"/>
            </w:pPr>
            <w:r w:rsidRPr="007D21BE">
              <w:rPr>
                <w:rFonts w:eastAsia="Arial"/>
              </w:rPr>
              <w:t xml:space="preserve">Доля раздела в общем объеме </w:t>
            </w:r>
          </w:p>
        </w:tc>
      </w:tr>
      <w:tr w:rsidR="009078C9" w:rsidRPr="007D21BE" w:rsidTr="00DA6A46">
        <w:trPr>
          <w:trHeight w:val="20"/>
        </w:trPr>
        <w:tc>
          <w:tcPr>
            <w:tcW w:w="436" w:type="dxa"/>
            <w:tcBorders>
              <w:top w:val="single" w:sz="4" w:space="0" w:color="auto"/>
              <w:left w:val="single" w:sz="4" w:space="0" w:color="auto"/>
            </w:tcBorders>
            <w:shd w:val="clear" w:color="auto" w:fill="FFFFFF"/>
          </w:tcPr>
          <w:p w:rsidR="009078C9" w:rsidRPr="007D21BE" w:rsidRDefault="009078C9" w:rsidP="00DA6A46">
            <w:pPr>
              <w:jc w:val="center"/>
            </w:pPr>
            <w:r w:rsidRPr="007D21BE">
              <w:rPr>
                <w:rFonts w:eastAsia="Arial"/>
              </w:rPr>
              <w:t>1</w:t>
            </w:r>
          </w:p>
        </w:tc>
        <w:tc>
          <w:tcPr>
            <w:tcW w:w="3827" w:type="dxa"/>
            <w:tcBorders>
              <w:top w:val="single" w:sz="4" w:space="0" w:color="auto"/>
              <w:left w:val="single" w:sz="4" w:space="0" w:color="auto"/>
            </w:tcBorders>
            <w:shd w:val="clear" w:color="auto" w:fill="FFFFFF"/>
          </w:tcPr>
          <w:p w:rsidR="009078C9" w:rsidRPr="007D21BE" w:rsidRDefault="009078C9" w:rsidP="00DA6A46">
            <w:r w:rsidRPr="007D21BE">
              <w:t>Приемка исходной документации</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9078C9" w:rsidRPr="007D21BE" w:rsidRDefault="009078C9" w:rsidP="00DA6A46">
            <w:pPr>
              <w:jc w:val="center"/>
            </w:pPr>
            <w:r w:rsidRPr="007D21BE">
              <w:rPr>
                <w:rFonts w:eastAsia="Arial"/>
              </w:rPr>
              <w:t>0,05</w:t>
            </w:r>
          </w:p>
        </w:tc>
      </w:tr>
      <w:tr w:rsidR="009078C9" w:rsidRPr="007D21BE" w:rsidTr="00DA6A46">
        <w:trPr>
          <w:trHeight w:val="20"/>
        </w:trPr>
        <w:tc>
          <w:tcPr>
            <w:tcW w:w="436" w:type="dxa"/>
            <w:tcBorders>
              <w:top w:val="single" w:sz="4" w:space="0" w:color="auto"/>
              <w:left w:val="single" w:sz="4" w:space="0" w:color="auto"/>
            </w:tcBorders>
            <w:shd w:val="clear" w:color="auto" w:fill="FFFFFF"/>
          </w:tcPr>
          <w:p w:rsidR="009078C9" w:rsidRPr="007D21BE" w:rsidRDefault="009078C9" w:rsidP="00DA6A46">
            <w:pPr>
              <w:jc w:val="center"/>
            </w:pPr>
            <w:r w:rsidRPr="007D21BE">
              <w:rPr>
                <w:rFonts w:eastAsia="Arial"/>
              </w:rPr>
              <w:t>2</w:t>
            </w:r>
          </w:p>
        </w:tc>
        <w:tc>
          <w:tcPr>
            <w:tcW w:w="3827" w:type="dxa"/>
            <w:tcBorders>
              <w:top w:val="single" w:sz="4" w:space="0" w:color="auto"/>
              <w:left w:val="single" w:sz="4" w:space="0" w:color="auto"/>
            </w:tcBorders>
            <w:shd w:val="clear" w:color="auto" w:fill="FFFFFF"/>
          </w:tcPr>
          <w:p w:rsidR="009078C9" w:rsidRPr="007D21BE" w:rsidRDefault="009078C9" w:rsidP="00DA6A46">
            <w:r w:rsidRPr="007D21BE">
              <w:t>Оформление исходной документации</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9078C9" w:rsidRPr="007D21BE" w:rsidRDefault="009078C9" w:rsidP="00DA6A46">
            <w:pPr>
              <w:jc w:val="center"/>
            </w:pPr>
            <w:r w:rsidRPr="007D21BE">
              <w:rPr>
                <w:rFonts w:eastAsia="Arial"/>
              </w:rPr>
              <w:t>0,05</w:t>
            </w:r>
          </w:p>
        </w:tc>
      </w:tr>
      <w:tr w:rsidR="009078C9" w:rsidRPr="007D21BE" w:rsidTr="00DA6A46">
        <w:trPr>
          <w:trHeight w:val="20"/>
        </w:trPr>
        <w:tc>
          <w:tcPr>
            <w:tcW w:w="436" w:type="dxa"/>
            <w:tcBorders>
              <w:top w:val="single" w:sz="4" w:space="0" w:color="auto"/>
              <w:left w:val="single" w:sz="4" w:space="0" w:color="auto"/>
            </w:tcBorders>
            <w:shd w:val="clear" w:color="auto" w:fill="FFFFFF"/>
          </w:tcPr>
          <w:p w:rsidR="009078C9" w:rsidRPr="007D21BE" w:rsidRDefault="009078C9" w:rsidP="00DA6A46">
            <w:pPr>
              <w:jc w:val="center"/>
            </w:pPr>
            <w:r w:rsidRPr="007D21BE">
              <w:rPr>
                <w:rFonts w:eastAsia="Arial"/>
              </w:rPr>
              <w:t>3</w:t>
            </w:r>
          </w:p>
        </w:tc>
        <w:tc>
          <w:tcPr>
            <w:tcW w:w="3827" w:type="dxa"/>
            <w:tcBorders>
              <w:top w:val="single" w:sz="4" w:space="0" w:color="auto"/>
              <w:left w:val="single" w:sz="4" w:space="0" w:color="auto"/>
            </w:tcBorders>
            <w:shd w:val="clear" w:color="auto" w:fill="FFFFFF"/>
          </w:tcPr>
          <w:p w:rsidR="009078C9" w:rsidRPr="007D21BE" w:rsidRDefault="009078C9" w:rsidP="00DA6A46">
            <w:r w:rsidRPr="007D21BE">
              <w:rPr>
                <w:rFonts w:eastAsia="Arial"/>
              </w:rPr>
              <w:t>Анализ документации</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9078C9" w:rsidRPr="007D21BE" w:rsidRDefault="009078C9" w:rsidP="00DA6A46">
            <w:pPr>
              <w:jc w:val="center"/>
            </w:pPr>
            <w:r w:rsidRPr="007D21BE">
              <w:rPr>
                <w:rFonts w:eastAsia="Arial"/>
              </w:rPr>
              <w:t>0,10</w:t>
            </w:r>
          </w:p>
        </w:tc>
      </w:tr>
      <w:tr w:rsidR="009078C9" w:rsidRPr="007D21BE" w:rsidTr="00DA6A46">
        <w:trPr>
          <w:trHeight w:val="20"/>
        </w:trPr>
        <w:tc>
          <w:tcPr>
            <w:tcW w:w="436" w:type="dxa"/>
            <w:tcBorders>
              <w:top w:val="single" w:sz="4" w:space="0" w:color="auto"/>
              <w:left w:val="single" w:sz="4" w:space="0" w:color="auto"/>
            </w:tcBorders>
            <w:shd w:val="clear" w:color="auto" w:fill="FFFFFF"/>
          </w:tcPr>
          <w:p w:rsidR="009078C9" w:rsidRPr="007D21BE" w:rsidRDefault="009078C9" w:rsidP="00DA6A46">
            <w:pPr>
              <w:jc w:val="center"/>
            </w:pPr>
            <w:r w:rsidRPr="007D21BE">
              <w:rPr>
                <w:rFonts w:eastAsia="Arial"/>
              </w:rPr>
              <w:t>4</w:t>
            </w:r>
          </w:p>
        </w:tc>
        <w:tc>
          <w:tcPr>
            <w:tcW w:w="3827" w:type="dxa"/>
            <w:tcBorders>
              <w:top w:val="single" w:sz="4" w:space="0" w:color="auto"/>
              <w:left w:val="single" w:sz="4" w:space="0" w:color="auto"/>
            </w:tcBorders>
            <w:shd w:val="clear" w:color="auto" w:fill="FFFFFF"/>
          </w:tcPr>
          <w:p w:rsidR="009078C9" w:rsidRPr="007D21BE" w:rsidRDefault="009078C9" w:rsidP="00DA6A46">
            <w:r w:rsidRPr="007D21BE">
              <w:t>Получение дополнительной информации от организаций (в случае необходимости)</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9078C9" w:rsidRPr="007D21BE" w:rsidRDefault="009078C9" w:rsidP="00DA6A46">
            <w:pPr>
              <w:jc w:val="center"/>
            </w:pPr>
            <w:r w:rsidRPr="007D21BE">
              <w:rPr>
                <w:rFonts w:eastAsia="Arial"/>
              </w:rPr>
              <w:t>0,05</w:t>
            </w:r>
          </w:p>
        </w:tc>
      </w:tr>
      <w:tr w:rsidR="009078C9" w:rsidRPr="007D21BE" w:rsidTr="00DA6A46">
        <w:trPr>
          <w:trHeight w:val="20"/>
        </w:trPr>
        <w:tc>
          <w:tcPr>
            <w:tcW w:w="436" w:type="dxa"/>
            <w:tcBorders>
              <w:top w:val="single" w:sz="4" w:space="0" w:color="auto"/>
              <w:left w:val="single" w:sz="4" w:space="0" w:color="auto"/>
            </w:tcBorders>
            <w:shd w:val="clear" w:color="auto" w:fill="FFFFFF"/>
          </w:tcPr>
          <w:p w:rsidR="009078C9" w:rsidRPr="007D21BE" w:rsidRDefault="009078C9" w:rsidP="00DA6A46">
            <w:pPr>
              <w:jc w:val="center"/>
            </w:pPr>
            <w:r w:rsidRPr="007D21BE">
              <w:rPr>
                <w:rFonts w:eastAsia="Arial"/>
              </w:rPr>
              <w:t>5</w:t>
            </w:r>
          </w:p>
        </w:tc>
        <w:tc>
          <w:tcPr>
            <w:tcW w:w="3827" w:type="dxa"/>
            <w:tcBorders>
              <w:top w:val="single" w:sz="4" w:space="0" w:color="auto"/>
              <w:left w:val="single" w:sz="4" w:space="0" w:color="auto"/>
            </w:tcBorders>
            <w:shd w:val="clear" w:color="auto" w:fill="FFFFFF"/>
          </w:tcPr>
          <w:p w:rsidR="009078C9" w:rsidRPr="007D21BE" w:rsidRDefault="009078C9" w:rsidP="00DA6A46">
            <w:r w:rsidRPr="007D21BE">
              <w:t>Определение плеча перевозки а/т</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9078C9" w:rsidRPr="007D21BE" w:rsidRDefault="009078C9" w:rsidP="00DA6A46">
            <w:pPr>
              <w:jc w:val="center"/>
            </w:pPr>
            <w:r w:rsidRPr="007D21BE">
              <w:rPr>
                <w:rFonts w:eastAsia="Arial"/>
              </w:rPr>
              <w:t>0,05</w:t>
            </w:r>
          </w:p>
        </w:tc>
      </w:tr>
      <w:tr w:rsidR="009078C9" w:rsidRPr="007D21BE" w:rsidTr="00DA6A46">
        <w:trPr>
          <w:trHeight w:val="20"/>
        </w:trPr>
        <w:tc>
          <w:tcPr>
            <w:tcW w:w="436" w:type="dxa"/>
            <w:tcBorders>
              <w:top w:val="single" w:sz="4" w:space="0" w:color="auto"/>
              <w:left w:val="single" w:sz="4" w:space="0" w:color="auto"/>
            </w:tcBorders>
            <w:shd w:val="clear" w:color="auto" w:fill="FFFFFF"/>
          </w:tcPr>
          <w:p w:rsidR="009078C9" w:rsidRPr="007D21BE" w:rsidRDefault="009078C9" w:rsidP="00DA6A46">
            <w:pPr>
              <w:jc w:val="center"/>
            </w:pPr>
            <w:r w:rsidRPr="007D21BE">
              <w:rPr>
                <w:rFonts w:eastAsia="Arial"/>
              </w:rPr>
              <w:t>6</w:t>
            </w:r>
          </w:p>
        </w:tc>
        <w:tc>
          <w:tcPr>
            <w:tcW w:w="3827" w:type="dxa"/>
            <w:tcBorders>
              <w:top w:val="single" w:sz="4" w:space="0" w:color="auto"/>
              <w:left w:val="single" w:sz="4" w:space="0" w:color="auto"/>
            </w:tcBorders>
            <w:shd w:val="clear" w:color="auto" w:fill="FFFFFF"/>
          </w:tcPr>
          <w:p w:rsidR="009078C9" w:rsidRPr="007D21BE" w:rsidRDefault="009078C9" w:rsidP="00DA6A46">
            <w:r w:rsidRPr="007D21BE">
              <w:rPr>
                <w:rFonts w:eastAsia="Arial"/>
              </w:rPr>
              <w:t>Расчет образования отходов</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9078C9" w:rsidRPr="007D21BE" w:rsidRDefault="009078C9" w:rsidP="00DA6A46">
            <w:pPr>
              <w:jc w:val="center"/>
            </w:pPr>
            <w:r w:rsidRPr="007D21BE">
              <w:rPr>
                <w:rFonts w:eastAsia="Arial"/>
              </w:rPr>
              <w:t>0,40</w:t>
            </w:r>
          </w:p>
        </w:tc>
      </w:tr>
      <w:tr w:rsidR="009078C9" w:rsidRPr="007D21BE" w:rsidTr="00DA6A46">
        <w:trPr>
          <w:trHeight w:val="20"/>
        </w:trPr>
        <w:tc>
          <w:tcPr>
            <w:tcW w:w="436" w:type="dxa"/>
            <w:tcBorders>
              <w:top w:val="single" w:sz="4" w:space="0" w:color="auto"/>
              <w:left w:val="single" w:sz="4" w:space="0" w:color="auto"/>
            </w:tcBorders>
            <w:shd w:val="clear" w:color="auto" w:fill="FFFFFF"/>
          </w:tcPr>
          <w:p w:rsidR="009078C9" w:rsidRPr="007D21BE" w:rsidRDefault="009078C9" w:rsidP="00DA6A46">
            <w:pPr>
              <w:jc w:val="center"/>
            </w:pPr>
            <w:r w:rsidRPr="007D21BE">
              <w:rPr>
                <w:rFonts w:eastAsia="Arial"/>
              </w:rPr>
              <w:t>7</w:t>
            </w:r>
          </w:p>
        </w:tc>
        <w:tc>
          <w:tcPr>
            <w:tcW w:w="3827" w:type="dxa"/>
            <w:tcBorders>
              <w:top w:val="single" w:sz="4" w:space="0" w:color="auto"/>
              <w:left w:val="single" w:sz="4" w:space="0" w:color="auto"/>
            </w:tcBorders>
            <w:shd w:val="clear" w:color="auto" w:fill="FFFFFF"/>
          </w:tcPr>
          <w:p w:rsidR="009078C9" w:rsidRPr="007D21BE" w:rsidRDefault="009078C9" w:rsidP="00DA6A46">
            <w:r w:rsidRPr="007D21BE">
              <w:t>Оформление пояснительной записки</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9078C9" w:rsidRPr="007D21BE" w:rsidRDefault="009078C9" w:rsidP="00DA6A46">
            <w:pPr>
              <w:jc w:val="center"/>
            </w:pPr>
            <w:r w:rsidRPr="007D21BE">
              <w:rPr>
                <w:rFonts w:eastAsia="Arial"/>
              </w:rPr>
              <w:t>0,30</w:t>
            </w:r>
          </w:p>
        </w:tc>
      </w:tr>
      <w:tr w:rsidR="009078C9" w:rsidRPr="007D21BE" w:rsidTr="00DA6A46">
        <w:trPr>
          <w:trHeight w:val="20"/>
        </w:trPr>
        <w:tc>
          <w:tcPr>
            <w:tcW w:w="436" w:type="dxa"/>
            <w:tcBorders>
              <w:top w:val="single" w:sz="4" w:space="0" w:color="auto"/>
              <w:left w:val="single" w:sz="4" w:space="0" w:color="auto"/>
            </w:tcBorders>
            <w:shd w:val="clear" w:color="auto" w:fill="FFFFFF"/>
          </w:tcPr>
          <w:p w:rsidR="009078C9" w:rsidRPr="007D21BE" w:rsidRDefault="009078C9" w:rsidP="00DA6A46">
            <w:pPr>
              <w:jc w:val="center"/>
              <w:rPr>
                <w:rFonts w:eastAsia="Arial"/>
              </w:rPr>
            </w:pPr>
            <w:r w:rsidRPr="007D21BE">
              <w:rPr>
                <w:rFonts w:eastAsia="Arial"/>
              </w:rPr>
              <w:t>8</w:t>
            </w:r>
          </w:p>
        </w:tc>
        <w:tc>
          <w:tcPr>
            <w:tcW w:w="3827" w:type="dxa"/>
            <w:tcBorders>
              <w:top w:val="single" w:sz="4" w:space="0" w:color="auto"/>
              <w:left w:val="single" w:sz="4" w:space="0" w:color="auto"/>
            </w:tcBorders>
            <w:shd w:val="clear" w:color="auto" w:fill="FFFFFF"/>
          </w:tcPr>
          <w:p w:rsidR="009078C9" w:rsidRPr="007D21BE" w:rsidRDefault="009078C9" w:rsidP="00DA6A46">
            <w:r w:rsidRPr="007D21BE">
              <w:t xml:space="preserve">Согласование ТР </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9078C9" w:rsidRPr="007D21BE" w:rsidRDefault="009078C9" w:rsidP="00DA6A46">
            <w:pPr>
              <w:jc w:val="center"/>
              <w:rPr>
                <w:rFonts w:eastAsia="Arial"/>
              </w:rPr>
            </w:pPr>
            <w:r w:rsidRPr="007D21BE">
              <w:rPr>
                <w:rFonts w:eastAsia="Arial"/>
              </w:rPr>
              <w:t>0,05</w:t>
            </w:r>
          </w:p>
        </w:tc>
      </w:tr>
      <w:tr w:rsidR="009078C9" w:rsidRPr="007D21BE" w:rsidTr="00DA6A46">
        <w:trPr>
          <w:trHeight w:val="20"/>
        </w:trPr>
        <w:tc>
          <w:tcPr>
            <w:tcW w:w="436" w:type="dxa"/>
            <w:tcBorders>
              <w:top w:val="single" w:sz="4" w:space="0" w:color="auto"/>
              <w:left w:val="single" w:sz="4" w:space="0" w:color="auto"/>
              <w:bottom w:val="single" w:sz="4" w:space="0" w:color="auto"/>
            </w:tcBorders>
            <w:shd w:val="clear" w:color="auto" w:fill="FFFFFF"/>
          </w:tcPr>
          <w:p w:rsidR="009078C9" w:rsidRPr="007D21BE" w:rsidRDefault="009078C9" w:rsidP="00DA6A46">
            <w:pPr>
              <w:jc w:val="center"/>
            </w:pPr>
            <w:r>
              <w:t>9</w:t>
            </w:r>
          </w:p>
        </w:tc>
        <w:tc>
          <w:tcPr>
            <w:tcW w:w="3827" w:type="dxa"/>
            <w:tcBorders>
              <w:top w:val="single" w:sz="4" w:space="0" w:color="auto"/>
              <w:left w:val="single" w:sz="4" w:space="0" w:color="auto"/>
              <w:bottom w:val="single" w:sz="4" w:space="0" w:color="auto"/>
            </w:tcBorders>
            <w:shd w:val="clear" w:color="auto" w:fill="FFFFFF"/>
          </w:tcPr>
          <w:p w:rsidR="009078C9" w:rsidRPr="007D21BE" w:rsidRDefault="009078C9" w:rsidP="00DA6A46">
            <w:r>
              <w:t>Техническое обследование здания</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9078C9" w:rsidRPr="007D21BE" w:rsidRDefault="009078C9" w:rsidP="00DA6A46">
            <w:pPr>
              <w:jc w:val="center"/>
            </w:pPr>
          </w:p>
        </w:tc>
      </w:tr>
    </w:tbl>
    <w:p w:rsidR="009078C9" w:rsidRDefault="009078C9" w:rsidP="009078C9">
      <w:pPr>
        <w:jc w:val="center"/>
      </w:pPr>
    </w:p>
    <w:p w:rsidR="009078C9" w:rsidRDefault="009078C9" w:rsidP="009078C9">
      <w:pPr>
        <w:jc w:val="center"/>
      </w:pPr>
    </w:p>
    <w:p w:rsidR="009078C9" w:rsidRDefault="009078C9" w:rsidP="009078C9">
      <w:pPr>
        <w:jc w:val="center"/>
      </w:pPr>
    </w:p>
    <w:p w:rsidR="009078C9" w:rsidRDefault="009078C9" w:rsidP="009078C9">
      <w:pPr>
        <w:jc w:val="center"/>
      </w:pPr>
    </w:p>
    <w:p w:rsidR="009078C9" w:rsidRDefault="009078C9" w:rsidP="009078C9">
      <w:pPr>
        <w:jc w:val="center"/>
      </w:pPr>
    </w:p>
    <w:p w:rsidR="009078C9" w:rsidRDefault="009078C9" w:rsidP="009078C9">
      <w:pPr>
        <w:jc w:val="center"/>
      </w:pPr>
    </w:p>
    <w:p w:rsidR="009078C9" w:rsidRDefault="009078C9" w:rsidP="009078C9">
      <w:pPr>
        <w:jc w:val="center"/>
      </w:pPr>
    </w:p>
    <w:p w:rsidR="009078C9" w:rsidRDefault="009078C9" w:rsidP="009078C9">
      <w:pPr>
        <w:jc w:val="center"/>
      </w:pPr>
    </w:p>
    <w:p w:rsidR="009078C9" w:rsidRDefault="009078C9" w:rsidP="009078C9">
      <w:pPr>
        <w:jc w:val="center"/>
      </w:pPr>
    </w:p>
    <w:p w:rsidR="009078C9" w:rsidRDefault="009078C9" w:rsidP="009078C9">
      <w:pPr>
        <w:jc w:val="center"/>
      </w:pPr>
    </w:p>
    <w:p w:rsidR="009078C9" w:rsidRPr="00B9458A" w:rsidRDefault="009078C9" w:rsidP="009078C9">
      <w:pPr>
        <w:jc w:val="center"/>
      </w:pPr>
    </w:p>
    <w:tbl>
      <w:tblPr>
        <w:tblW w:w="9870" w:type="dxa"/>
        <w:jc w:val="center"/>
        <w:tblLook w:val="04A0"/>
      </w:tblPr>
      <w:tblGrid>
        <w:gridCol w:w="4826"/>
        <w:gridCol w:w="5044"/>
      </w:tblGrid>
      <w:tr w:rsidR="009078C9" w:rsidRPr="007D21BE" w:rsidTr="00DA6A46">
        <w:trPr>
          <w:jc w:val="center"/>
        </w:trPr>
        <w:tc>
          <w:tcPr>
            <w:tcW w:w="4826" w:type="dxa"/>
            <w:shd w:val="clear" w:color="auto" w:fill="auto"/>
          </w:tcPr>
          <w:p w:rsidR="009078C9" w:rsidRPr="007D21BE" w:rsidRDefault="009078C9" w:rsidP="00DA6A46">
            <w:pPr>
              <w:jc w:val="center"/>
            </w:pPr>
            <w:r w:rsidRPr="007D21BE">
              <w:t>Генеральный директор</w:t>
            </w:r>
            <w:r w:rsidRPr="007D21BE">
              <w:br/>
              <w:t>ООО «</w:t>
            </w:r>
            <w:proofErr w:type="spellStart"/>
            <w:r w:rsidRPr="00553FA5">
              <w:t>Техногрунт</w:t>
            </w:r>
            <w:proofErr w:type="spellEnd"/>
            <w:r w:rsidRPr="007D21BE">
              <w:t>»</w:t>
            </w:r>
          </w:p>
          <w:p w:rsidR="009078C9" w:rsidRPr="007D21BE" w:rsidRDefault="009078C9" w:rsidP="00DA6A46">
            <w:pPr>
              <w:jc w:val="center"/>
            </w:pPr>
          </w:p>
        </w:tc>
        <w:tc>
          <w:tcPr>
            <w:tcW w:w="5044" w:type="dxa"/>
            <w:shd w:val="clear" w:color="auto" w:fill="auto"/>
          </w:tcPr>
          <w:p w:rsidR="009078C9" w:rsidRPr="00247336" w:rsidRDefault="009078C9" w:rsidP="00DA6A46">
            <w:pPr>
              <w:jc w:val="center"/>
            </w:pPr>
            <w:r w:rsidRPr="00247336">
              <w:t>Генеральн</w:t>
            </w:r>
            <w:r>
              <w:t>ый директор</w:t>
            </w:r>
            <w:r>
              <w:br/>
              <w:t>НУТ</w:t>
            </w:r>
            <w:r w:rsidRPr="00247336">
              <w:t xml:space="preserve"> «</w:t>
            </w:r>
            <w:r>
              <w:t>Центр развития и освоения технологий переработки вторичных ресурсов</w:t>
            </w:r>
            <w:r w:rsidRPr="00247336">
              <w:t>»</w:t>
            </w:r>
          </w:p>
          <w:p w:rsidR="009078C9" w:rsidRPr="00247336" w:rsidRDefault="009078C9" w:rsidP="00DA6A46">
            <w:pPr>
              <w:jc w:val="center"/>
            </w:pPr>
          </w:p>
          <w:p w:rsidR="009078C9" w:rsidRPr="00247336" w:rsidRDefault="009078C9" w:rsidP="00DA6A46">
            <w:pPr>
              <w:jc w:val="center"/>
            </w:pPr>
          </w:p>
        </w:tc>
      </w:tr>
      <w:tr w:rsidR="009078C9" w:rsidRPr="007D21BE" w:rsidTr="00DA6A46">
        <w:trPr>
          <w:jc w:val="center"/>
        </w:trPr>
        <w:tc>
          <w:tcPr>
            <w:tcW w:w="4826" w:type="dxa"/>
            <w:shd w:val="clear" w:color="auto" w:fill="auto"/>
          </w:tcPr>
          <w:p w:rsidR="009078C9" w:rsidRPr="007D21BE" w:rsidRDefault="009078C9" w:rsidP="00DA6A46">
            <w:pPr>
              <w:jc w:val="right"/>
            </w:pPr>
            <w:r w:rsidRPr="007D21BE">
              <w:tab/>
              <w:t>__________________</w:t>
            </w:r>
            <w:r>
              <w:t xml:space="preserve"> Дмитриев А.Э</w:t>
            </w:r>
            <w:r w:rsidRPr="007D21BE">
              <w:t>.</w:t>
            </w:r>
          </w:p>
        </w:tc>
        <w:tc>
          <w:tcPr>
            <w:tcW w:w="5044" w:type="dxa"/>
            <w:shd w:val="clear" w:color="auto" w:fill="auto"/>
          </w:tcPr>
          <w:p w:rsidR="009078C9" w:rsidRPr="00247336" w:rsidRDefault="009078C9" w:rsidP="00DA6A46">
            <w:pPr>
              <w:jc w:val="right"/>
            </w:pPr>
            <w:r w:rsidRPr="00247336">
              <w:tab/>
              <w:t>__________________</w:t>
            </w:r>
            <w:r>
              <w:t xml:space="preserve"> Манилов А.В.</w:t>
            </w:r>
          </w:p>
        </w:tc>
      </w:tr>
      <w:tr w:rsidR="009078C9" w:rsidRPr="007D21BE" w:rsidTr="00DA6A46">
        <w:trPr>
          <w:jc w:val="center"/>
        </w:trPr>
        <w:tc>
          <w:tcPr>
            <w:tcW w:w="4826" w:type="dxa"/>
            <w:shd w:val="clear" w:color="auto" w:fill="auto"/>
          </w:tcPr>
          <w:p w:rsidR="009078C9" w:rsidRPr="007D21BE" w:rsidRDefault="009078C9" w:rsidP="00DA6A46">
            <w:pPr>
              <w:jc w:val="center"/>
            </w:pPr>
            <w:r w:rsidRPr="007D21BE">
              <w:t>м.п.</w:t>
            </w:r>
          </w:p>
        </w:tc>
        <w:tc>
          <w:tcPr>
            <w:tcW w:w="5044" w:type="dxa"/>
            <w:shd w:val="clear" w:color="auto" w:fill="auto"/>
          </w:tcPr>
          <w:p w:rsidR="009078C9" w:rsidRPr="00247336" w:rsidRDefault="009078C9" w:rsidP="00DA6A46">
            <w:pPr>
              <w:jc w:val="center"/>
            </w:pPr>
            <w:r w:rsidRPr="00247336">
              <w:t>м.п.</w:t>
            </w:r>
          </w:p>
        </w:tc>
      </w:tr>
      <w:tr w:rsidR="009078C9" w:rsidRPr="007D21BE" w:rsidTr="00DA6A46">
        <w:trPr>
          <w:jc w:val="center"/>
        </w:trPr>
        <w:tc>
          <w:tcPr>
            <w:tcW w:w="4826" w:type="dxa"/>
            <w:shd w:val="clear" w:color="auto" w:fill="auto"/>
          </w:tcPr>
          <w:p w:rsidR="009078C9" w:rsidRPr="007D21BE" w:rsidRDefault="009078C9" w:rsidP="00DA6A46">
            <w:pPr>
              <w:rPr>
                <w:sz w:val="22"/>
                <w:szCs w:val="22"/>
              </w:rPr>
            </w:pPr>
          </w:p>
        </w:tc>
        <w:tc>
          <w:tcPr>
            <w:tcW w:w="5044" w:type="dxa"/>
            <w:shd w:val="clear" w:color="auto" w:fill="auto"/>
          </w:tcPr>
          <w:p w:rsidR="009078C9" w:rsidRPr="007D21BE" w:rsidRDefault="009078C9" w:rsidP="00DA6A46">
            <w:pPr>
              <w:rPr>
                <w:sz w:val="22"/>
                <w:szCs w:val="22"/>
              </w:rPr>
            </w:pPr>
          </w:p>
        </w:tc>
      </w:tr>
    </w:tbl>
    <w:p w:rsidR="001B20F1" w:rsidRPr="003C7E73" w:rsidRDefault="001B20F1" w:rsidP="003C7E73">
      <w:pPr>
        <w:ind w:left="284"/>
        <w:rPr>
          <w:sz w:val="24"/>
          <w:szCs w:val="24"/>
        </w:rPr>
      </w:pPr>
    </w:p>
    <w:sectPr w:rsidR="001B20F1" w:rsidRPr="003C7E73" w:rsidSect="003C7E73">
      <w:headerReference w:type="default" r:id="rId8"/>
      <w:footerReference w:type="default" r:id="rId9"/>
      <w:pgSz w:w="11906" w:h="16838"/>
      <w:pgMar w:top="1134" w:right="851" w:bottom="993" w:left="426"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DFC" w:rsidRDefault="00ED7DFC" w:rsidP="003C7E73">
      <w:r>
        <w:separator/>
      </w:r>
    </w:p>
  </w:endnote>
  <w:endnote w:type="continuationSeparator" w:id="1">
    <w:p w:rsidR="00ED7DFC" w:rsidRDefault="00ED7DFC" w:rsidP="003C7E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DFC" w:rsidRDefault="00ED7DFC">
    <w:pPr>
      <w:pStyle w:val="a8"/>
    </w:pPr>
  </w:p>
  <w:p w:rsidR="00ED7DFC" w:rsidRDefault="00ED7DFC" w:rsidP="00ED7DFC">
    <w:pPr>
      <w:pStyle w:val="a8"/>
      <w:ind w:firstLine="284"/>
    </w:pPr>
    <w:r>
      <w:t>Подпись Отправителя __________________                                              Подпись Перевозчика 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DFC" w:rsidRDefault="00ED7DFC" w:rsidP="003C7E73">
      <w:r>
        <w:separator/>
      </w:r>
    </w:p>
  </w:footnote>
  <w:footnote w:type="continuationSeparator" w:id="1">
    <w:p w:rsidR="00ED7DFC" w:rsidRDefault="00ED7DFC" w:rsidP="003C7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DFC" w:rsidRDefault="00ED7DFC" w:rsidP="003C7E73">
    <w:pPr>
      <w:pStyle w:val="ac"/>
      <w:tabs>
        <w:tab w:val="clear" w:pos="9355"/>
        <w:tab w:val="left" w:pos="9047"/>
      </w:tabs>
    </w:pPr>
    <w:r w:rsidRPr="003C7E73">
      <w:rPr>
        <w:noProof/>
      </w:rPr>
      <w:drawing>
        <wp:inline distT="0" distB="0" distL="0" distR="0">
          <wp:extent cx="2219739" cy="470452"/>
          <wp:effectExtent l="19050" t="0" r="9111" b="0"/>
          <wp:docPr id="2" name="Рисунок 1" descr="\\Iistg\общая папка\ТЕХНОГРУНТ\САЙТ\ЛОГО\Лого-техногрунт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stg\общая папка\ТЕХНОГРУНТ\САЙТ\ЛОГО\Лого-техногрунт1.png"/>
                  <pic:cNvPicPr>
                    <a:picLocks noChangeAspect="1" noChangeArrowheads="1"/>
                  </pic:cNvPicPr>
                </pic:nvPicPr>
                <pic:blipFill>
                  <a:blip r:embed="rId1"/>
                  <a:srcRect/>
                  <a:stretch>
                    <a:fillRect/>
                  </a:stretch>
                </pic:blipFill>
                <pic:spPr bwMode="auto">
                  <a:xfrm>
                    <a:off x="0" y="0"/>
                    <a:ext cx="2221961" cy="470923"/>
                  </a:xfrm>
                  <a:prstGeom prst="rect">
                    <a:avLst/>
                  </a:prstGeom>
                  <a:noFill/>
                  <a:ln w="9525">
                    <a:noFill/>
                    <a:miter lim="800000"/>
                    <a:headEnd/>
                    <a:tailEnd/>
                  </a:ln>
                </pic:spPr>
              </pic:pic>
            </a:graphicData>
          </a:graphic>
        </wp:inline>
      </w:drawing>
    </w:r>
    <w:r>
      <w:rPr>
        <w:noProof/>
      </w:rPr>
      <w:t xml:space="preserve">                                   </w:t>
    </w:r>
    <w:r>
      <w:tab/>
    </w:r>
  </w:p>
  <w:p w:rsidR="00ED7DFC" w:rsidRDefault="00ED7DF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C49E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94EF3"/>
    <w:multiLevelType w:val="hybridMultilevel"/>
    <w:tmpl w:val="FD4021DA"/>
    <w:lvl w:ilvl="0" w:tplc="4260C0C6">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1E53A3"/>
    <w:multiLevelType w:val="singleLevel"/>
    <w:tmpl w:val="DC8EBD7A"/>
    <w:lvl w:ilvl="0">
      <w:start w:val="4"/>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
    <w:nsid w:val="1E6D76C2"/>
    <w:multiLevelType w:val="hybridMultilevel"/>
    <w:tmpl w:val="4334B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13A80"/>
    <w:multiLevelType w:val="singleLevel"/>
    <w:tmpl w:val="1AA8017E"/>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
    <w:nsid w:val="4B913023"/>
    <w:multiLevelType w:val="singleLevel"/>
    <w:tmpl w:val="C1D478F2"/>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
    <w:nsid w:val="5FEE0746"/>
    <w:multiLevelType w:val="hybridMultilevel"/>
    <w:tmpl w:val="0B6C7100"/>
    <w:lvl w:ilvl="0" w:tplc="5D447752">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795C71"/>
    <w:multiLevelType w:val="hybridMultilevel"/>
    <w:tmpl w:val="7FF8BA86"/>
    <w:lvl w:ilvl="0" w:tplc="0C0EF876">
      <w:start w:val="8"/>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A722C9D"/>
    <w:multiLevelType w:val="singleLevel"/>
    <w:tmpl w:val="89F4D864"/>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num w:numId="1">
    <w:abstractNumId w:val="5"/>
  </w:num>
  <w:num w:numId="2">
    <w:abstractNumId w:val="4"/>
  </w:num>
  <w:num w:numId="3">
    <w:abstractNumId w:val="8"/>
  </w:num>
  <w:num w:numId="4">
    <w:abstractNumId w:val="2"/>
  </w:num>
  <w:num w:numId="5">
    <w:abstractNumId w:val="1"/>
  </w:num>
  <w:num w:numId="6">
    <w:abstractNumId w:val="6"/>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0"/>
    <w:footnote w:id="1"/>
  </w:footnotePr>
  <w:endnotePr>
    <w:endnote w:id="0"/>
    <w:endnote w:id="1"/>
  </w:endnotePr>
  <w:compat/>
  <w:rsids>
    <w:rsidRoot w:val="005855A1"/>
    <w:rsid w:val="000954A2"/>
    <w:rsid w:val="000C1E19"/>
    <w:rsid w:val="000D77B1"/>
    <w:rsid w:val="000E7CD1"/>
    <w:rsid w:val="001178E1"/>
    <w:rsid w:val="001B20F1"/>
    <w:rsid w:val="00212241"/>
    <w:rsid w:val="002A2096"/>
    <w:rsid w:val="002C37F4"/>
    <w:rsid w:val="00313C04"/>
    <w:rsid w:val="003707F0"/>
    <w:rsid w:val="003C7E73"/>
    <w:rsid w:val="00441ABF"/>
    <w:rsid w:val="004665B7"/>
    <w:rsid w:val="004B29A4"/>
    <w:rsid w:val="004C6BEC"/>
    <w:rsid w:val="004F6D04"/>
    <w:rsid w:val="00577B06"/>
    <w:rsid w:val="005855A1"/>
    <w:rsid w:val="0059467C"/>
    <w:rsid w:val="005B5D81"/>
    <w:rsid w:val="006254F4"/>
    <w:rsid w:val="00631984"/>
    <w:rsid w:val="0069591B"/>
    <w:rsid w:val="006E2A20"/>
    <w:rsid w:val="00700DC9"/>
    <w:rsid w:val="007854C3"/>
    <w:rsid w:val="007A75F6"/>
    <w:rsid w:val="007E3A7A"/>
    <w:rsid w:val="00813383"/>
    <w:rsid w:val="009078C9"/>
    <w:rsid w:val="00915D26"/>
    <w:rsid w:val="0092355D"/>
    <w:rsid w:val="00957FDF"/>
    <w:rsid w:val="0096583B"/>
    <w:rsid w:val="009944D5"/>
    <w:rsid w:val="009B1F96"/>
    <w:rsid w:val="009C4AC1"/>
    <w:rsid w:val="009D0A0A"/>
    <w:rsid w:val="00A6417D"/>
    <w:rsid w:val="00B53A97"/>
    <w:rsid w:val="00B53EF5"/>
    <w:rsid w:val="00BC5D97"/>
    <w:rsid w:val="00BF6ABB"/>
    <w:rsid w:val="00C312B9"/>
    <w:rsid w:val="00C6579E"/>
    <w:rsid w:val="00C661CD"/>
    <w:rsid w:val="00CB73A0"/>
    <w:rsid w:val="00CB7696"/>
    <w:rsid w:val="00CD6B8D"/>
    <w:rsid w:val="00CE41AD"/>
    <w:rsid w:val="00CE61AD"/>
    <w:rsid w:val="00DB7510"/>
    <w:rsid w:val="00DC7F64"/>
    <w:rsid w:val="00EC0330"/>
    <w:rsid w:val="00EC0910"/>
    <w:rsid w:val="00ED7DFC"/>
    <w:rsid w:val="00F14259"/>
    <w:rsid w:val="00F76958"/>
    <w:rsid w:val="00FA6A53"/>
    <w:rsid w:val="00FE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5A1"/>
  </w:style>
  <w:style w:type="paragraph" w:styleId="1">
    <w:name w:val="heading 1"/>
    <w:basedOn w:val="a"/>
    <w:next w:val="a"/>
    <w:link w:val="10"/>
    <w:qFormat/>
    <w:rsid w:val="009078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55A1"/>
    <w:pPr>
      <w:keepNext/>
      <w:ind w:firstLine="720"/>
      <w:jc w:val="center"/>
      <w:outlineLvl w:val="1"/>
    </w:pPr>
    <w:rPr>
      <w:b/>
      <w:sz w:val="24"/>
    </w:rPr>
  </w:style>
  <w:style w:type="paragraph" w:styleId="6">
    <w:name w:val="heading 6"/>
    <w:basedOn w:val="a"/>
    <w:next w:val="a"/>
    <w:qFormat/>
    <w:rsid w:val="005855A1"/>
    <w:pPr>
      <w:keepNext/>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855A1"/>
    <w:pPr>
      <w:jc w:val="center"/>
    </w:pPr>
    <w:rPr>
      <w:b/>
    </w:rPr>
  </w:style>
  <w:style w:type="paragraph" w:styleId="a4">
    <w:name w:val="Body Text"/>
    <w:basedOn w:val="a"/>
    <w:rsid w:val="005855A1"/>
    <w:pPr>
      <w:jc w:val="both"/>
    </w:pPr>
    <w:rPr>
      <w:sz w:val="24"/>
    </w:rPr>
  </w:style>
  <w:style w:type="paragraph" w:styleId="a5">
    <w:name w:val="List Number"/>
    <w:basedOn w:val="a"/>
    <w:rsid w:val="005855A1"/>
    <w:pPr>
      <w:tabs>
        <w:tab w:val="num" w:pos="720"/>
      </w:tabs>
      <w:spacing w:before="120"/>
      <w:ind w:left="720" w:hanging="550"/>
      <w:jc w:val="both"/>
    </w:pPr>
    <w:rPr>
      <w:sz w:val="24"/>
    </w:rPr>
  </w:style>
  <w:style w:type="paragraph" w:customStyle="1" w:styleId="ConsPlusNonformat">
    <w:name w:val="ConsPlusNonformat"/>
    <w:rsid w:val="005855A1"/>
    <w:pPr>
      <w:autoSpaceDE w:val="0"/>
      <w:autoSpaceDN w:val="0"/>
      <w:adjustRightInd w:val="0"/>
    </w:pPr>
    <w:rPr>
      <w:rFonts w:ascii="Courier New" w:hAnsi="Courier New" w:cs="Courier New"/>
    </w:rPr>
  </w:style>
  <w:style w:type="paragraph" w:styleId="a6">
    <w:name w:val="Subtitle"/>
    <w:basedOn w:val="a"/>
    <w:link w:val="a7"/>
    <w:qFormat/>
    <w:rsid w:val="005855A1"/>
    <w:rPr>
      <w:sz w:val="24"/>
    </w:rPr>
  </w:style>
  <w:style w:type="character" w:customStyle="1" w:styleId="a7">
    <w:name w:val="Подзаголовок Знак"/>
    <w:link w:val="a6"/>
    <w:rsid w:val="005855A1"/>
    <w:rPr>
      <w:sz w:val="24"/>
      <w:lang w:bidi="ar-SA"/>
    </w:rPr>
  </w:style>
  <w:style w:type="paragraph" w:customStyle="1" w:styleId="11">
    <w:name w:val="Цитата1"/>
    <w:basedOn w:val="a"/>
    <w:rsid w:val="005855A1"/>
    <w:pPr>
      <w:keepLines/>
      <w:suppressAutoHyphens/>
      <w:ind w:left="-567" w:right="567"/>
    </w:pPr>
    <w:rPr>
      <w:sz w:val="24"/>
      <w:lang w:eastAsia="ar-SA"/>
    </w:rPr>
  </w:style>
  <w:style w:type="character" w:customStyle="1" w:styleId="20">
    <w:name w:val="Заголовок 2 Знак"/>
    <w:link w:val="2"/>
    <w:rsid w:val="005855A1"/>
    <w:rPr>
      <w:b/>
      <w:sz w:val="24"/>
      <w:lang w:bidi="ar-SA"/>
    </w:rPr>
  </w:style>
  <w:style w:type="paragraph" w:styleId="a8">
    <w:name w:val="footer"/>
    <w:basedOn w:val="a"/>
    <w:link w:val="a9"/>
    <w:uiPriority w:val="99"/>
    <w:rsid w:val="004665B7"/>
    <w:pPr>
      <w:tabs>
        <w:tab w:val="center" w:pos="4153"/>
        <w:tab w:val="right" w:pos="8306"/>
      </w:tabs>
    </w:pPr>
  </w:style>
  <w:style w:type="character" w:customStyle="1" w:styleId="a9">
    <w:name w:val="Нижний колонтитул Знак"/>
    <w:basedOn w:val="a0"/>
    <w:link w:val="a8"/>
    <w:uiPriority w:val="99"/>
    <w:rsid w:val="004665B7"/>
  </w:style>
  <w:style w:type="paragraph" w:styleId="aa">
    <w:name w:val="Balloon Text"/>
    <w:basedOn w:val="a"/>
    <w:link w:val="ab"/>
    <w:rsid w:val="003C7E73"/>
    <w:rPr>
      <w:rFonts w:ascii="Tahoma" w:hAnsi="Tahoma" w:cs="Tahoma"/>
      <w:sz w:val="16"/>
      <w:szCs w:val="16"/>
    </w:rPr>
  </w:style>
  <w:style w:type="character" w:customStyle="1" w:styleId="ab">
    <w:name w:val="Текст выноски Знак"/>
    <w:basedOn w:val="a0"/>
    <w:link w:val="aa"/>
    <w:rsid w:val="003C7E73"/>
    <w:rPr>
      <w:rFonts w:ascii="Tahoma" w:hAnsi="Tahoma" w:cs="Tahoma"/>
      <w:sz w:val="16"/>
      <w:szCs w:val="16"/>
    </w:rPr>
  </w:style>
  <w:style w:type="paragraph" w:styleId="ac">
    <w:name w:val="header"/>
    <w:basedOn w:val="a"/>
    <w:link w:val="ad"/>
    <w:uiPriority w:val="99"/>
    <w:rsid w:val="003C7E73"/>
    <w:pPr>
      <w:tabs>
        <w:tab w:val="center" w:pos="4677"/>
        <w:tab w:val="right" w:pos="9355"/>
      </w:tabs>
    </w:pPr>
  </w:style>
  <w:style w:type="character" w:customStyle="1" w:styleId="ad">
    <w:name w:val="Верхний колонтитул Знак"/>
    <w:basedOn w:val="a0"/>
    <w:link w:val="ac"/>
    <w:uiPriority w:val="99"/>
    <w:rsid w:val="003C7E73"/>
  </w:style>
  <w:style w:type="character" w:customStyle="1" w:styleId="10">
    <w:name w:val="Заголовок 1 Знак"/>
    <w:basedOn w:val="a0"/>
    <w:link w:val="1"/>
    <w:rsid w:val="009078C9"/>
    <w:rPr>
      <w:rFonts w:asciiTheme="majorHAnsi" w:eastAsiaTheme="majorEastAsia" w:hAnsiTheme="majorHAnsi" w:cstheme="majorBidi"/>
      <w:b/>
      <w:bCs/>
      <w:color w:val="365F91" w:themeColor="accent1" w:themeShade="BF"/>
      <w:sz w:val="28"/>
      <w:szCs w:val="28"/>
    </w:rPr>
  </w:style>
  <w:style w:type="character" w:styleId="ae">
    <w:name w:val="Hyperlink"/>
    <w:rsid w:val="009078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740231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2619</Words>
  <Characters>18445</Characters>
  <Application>Microsoft Office Word</Application>
  <DocSecurity>0</DocSecurity>
  <Lines>153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TECHNOGRUNT</cp:lastModifiedBy>
  <cp:revision>2</cp:revision>
  <cp:lastPrinted>2015-01-20T14:59:00Z</cp:lastPrinted>
  <dcterms:created xsi:type="dcterms:W3CDTF">2019-02-28T08:29:00Z</dcterms:created>
  <dcterms:modified xsi:type="dcterms:W3CDTF">2019-02-28T08:29:00Z</dcterms:modified>
</cp:coreProperties>
</file>