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Прайс лист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на работы по устройству котлованов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(предложены средние стоимости, зависящие от местоположения объектов, геологических заключений и проектных решений)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11.0" w:type="dxa"/>
        <w:jc w:val="left"/>
        <w:tblInd w:w="96.0" w:type="dxa"/>
        <w:tblLayout w:type="fixed"/>
        <w:tblLook w:val="0400"/>
      </w:tblPr>
      <w:tblGrid>
        <w:gridCol w:w="500"/>
        <w:gridCol w:w="7738"/>
        <w:gridCol w:w="2973"/>
        <w:tblGridChange w:id="0">
          <w:tblGrid>
            <w:gridCol w:w="500"/>
            <w:gridCol w:w="7738"/>
            <w:gridCol w:w="2973"/>
          </w:tblGrid>
        </w:tblGridChange>
      </w:tblGrid>
      <w:tr>
        <w:trPr>
          <w:trHeight w:val="5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Цена за м3 твердого тела  с НДС 20%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откосами в пределах МКАД (глубина до 5 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550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откосами за пределами МКАД ( глубина до 5м)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500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Разработка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котлована с применением распорной системы в пределах МКАД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650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Разработка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котлована с применением распорной системы за пределами МКАД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600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со складированием грунта на объекте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330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малой площадью (грейфером)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600 руб.</w:t>
            </w:r>
          </w:p>
        </w:tc>
      </w:tr>
      <w:tr>
        <w:trPr>
          <w:trHeight w:val="372.109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нестабильными грунтами (бентонит, водонасыщение)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750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глубиной более 5 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договорная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в пределах ТТК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680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методом ап энд даун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850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 ограждения (стена в грунте)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700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Оформление разрешения на утилизацию грунтов с талонами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80 руб.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ООО "Техногрунт"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Дмитриев А.Э.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02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4">
      <w:pPr>
        <w:tabs>
          <w:tab w:val="left" w:pos="1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Прайс лист</w:t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Разработка котлована с применением различной спецтехники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211.0" w:type="dxa"/>
        <w:jc w:val="left"/>
        <w:tblInd w:w="96.0" w:type="dxa"/>
        <w:tblLayout w:type="fixed"/>
        <w:tblLook w:val="0400"/>
      </w:tblPr>
      <w:tblGrid>
        <w:gridCol w:w="500"/>
        <w:gridCol w:w="8301"/>
        <w:gridCol w:w="2410"/>
        <w:tblGridChange w:id="0">
          <w:tblGrid>
            <w:gridCol w:w="500"/>
            <w:gridCol w:w="8301"/>
            <w:gridCol w:w="2410"/>
          </w:tblGrid>
        </w:tblGridChange>
      </w:tblGrid>
      <w:tr>
        <w:trPr>
          <w:trHeight w:val="5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Цена за м3 твердого тела  с НДС 20%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экскаватором с </w:t>
            </w:r>
            <w:r w:rsidDel="00000000" w:rsidR="00000000" w:rsidRPr="00000000">
              <w:rPr>
                <w:rtl w:val="0"/>
              </w:rPr>
              <w:t xml:space="preserve">удлиненной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стрелой и рукоятью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700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помощью МТЗ (золотая ручка)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650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Разработка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котлована с помощью колесного грейфера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750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Разработка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котлована с помощью гусеничного грейфера (стрела до 22 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850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применением мини техники (боб кет, мини экскаватор)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850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применением двух и более экскаваторов (каскадный метод)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700 руб.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Разработка котлована с применением бульдозера (планировка, труднодоступность)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от 850 руб.</w:t>
            </w:r>
          </w:p>
        </w:tc>
      </w:tr>
    </w:tbl>
    <w:p w:rsidR="00000000" w:rsidDel="00000000" w:rsidP="00000000" w:rsidRDefault="00000000" w:rsidRPr="00000000" w14:paraId="00000061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Для различных типов котлованов используется широкий спектр спецтехники. Правильный выбор метода разработки котлована, а также верное определение типа спецтехники является ключевым для максимально возможного темпа производства работ и оптимизации расходов на разработку котлована. Специалисты ООО Техногрунт обладают обширным опытом использования всех видов спецтехники и готовы провести профессиональные консультации перед началом работ.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ООО "Техногрунт"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Дмитриев А.Э.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426" w:right="424" w:header="284" w:footer="1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048500" cy="1809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0" cy="180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pacing w:after="0" w:lineRule="auto"/>
      <w:rPr>
        <w:i w:val="1"/>
      </w:rPr>
    </w:pPr>
    <w:r w:rsidDel="00000000" w:rsidR="00000000" w:rsidRPr="00000000">
      <w:rPr/>
      <w:drawing>
        <wp:inline distB="0" distT="0" distL="114300" distR="114300">
          <wp:extent cx="7181850" cy="10858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